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6"/>
          <w:szCs w:val="36"/>
          <w:rtl w:val="0"/>
        </w:rPr>
        <w:t xml:space="preserve">ENIGMA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color w:val="b08d57"/>
          <w:sz w:val="20"/>
          <w:szCs w:val="20"/>
          <w:rtl w:val="0"/>
        </w:rPr>
        <w:t xml:space="preserve">INVESTMENT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1"/>
          <w:bCs w:val="1"/>
          <w:color w:val="1f2a44"/>
          <w:sz w:val="34"/>
          <w:szCs w:val="34"/>
          <w:rtl w:val="0"/>
        </w:rPr>
        <w:t xml:space="preserve">Early-Stage Innovation &amp; Technology Screening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color w:val="1f2a44"/>
          <w:sz w:val="24"/>
          <w:szCs w:val="24"/>
          <w:rtl w:val="0"/>
        </w:rPr>
        <w:t xml:space="preserve">With Supplementary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Where an answer is not yet known, please say so — an honest “not yet” is more useful to us than an estimate presented as fact. Answer boxes will expand as you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2"/>
          <w:szCs w:val="32"/>
          <w:rtl w:val="0"/>
        </w:rPr>
        <w:t xml:space="preserve">Part A — EIG Screening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Complete all applicable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About the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name: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Brief overview of the business and product: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Sector(s) the business operates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Note: capital-intensive hardware/manufacturing plays (e.g. EV or battery manufacturing) fall outside this mandate unless the core value proposition is technology- or innovation-led. Other innovation (specify below):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Fintech &amp; payments      ☐ Healthtech      ☐ Cleantech / climate &amp; energy      ☐ Agritech      ☐ Logistics &amp; supply chain      ☐ E-commerce / marketplace      ☐ Edtech      ☐ Deep tech / AI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Countries of current operation: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Target countries for expansion: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Region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Region(s) of operation: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North Africa      ☐ West Africa      ☐ East Africa      ☐ Southern Africa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Is the country of operation currently free of international sanctions?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Yes      ☐ 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Stage &amp; 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Pre-seed      ☐ Seed      ☐ Already trading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9.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already trading: how long has the company been operating, and what traction can you demonstrate (users, transaction volume, signed pilots/MOUs)?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10.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 monthly or annual revenue, if any: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Team &amp; 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team overview and relevant experience: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Value proposition and target customer: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Competitive advantage / defensibility: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Please name any existing competitors or alternatives station owners currently use.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Route to profitability: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Financials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Are three-year financial projections available (revenue, profitability, cash flow and key assumptions)?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Yes      ☐ 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assumptions underpinning the projections: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 financial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Pre-revenue      ☐ Revenue-generating, not yet profitable      ☐ Profitable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Funding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Amount being raised: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19.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Intended use of funds: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20.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milestones this investment will help the business achieve: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Documentation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Documents ready for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Investor pitch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Three-year financial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Use-of-funds &amp; milestones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2"/>
          <w:szCs w:val="32"/>
          <w:rtl w:val="0"/>
        </w:rPr>
        <w:t xml:space="preserve">Part B — Supplementary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Specific to the Octane Obit raise. Numbering continues from Part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B1. Funding structure &amp;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each tranche, what type of capital are you seeking?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Instrument (equity / debt / convertible / grant / open) and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Tranche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☐ Equity   ☐ Debt   ☐ Convertible   ☐ Grant   ☐ Open to discussion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Tranche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☐ Equity   ☐ Debt   ☐ Convertible   ☐ Grant   ☐ Open to discussion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equity: what pre-money valuation are you proposing, and what percentage stake is on offer? How was the valuation arrived at?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debt: what loan amount, term, interest rate and repayment schedule are you proposing?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explain how the Lending Module (Tranche 2) would work in practice: who borrows, on what terms, how repayments are collected, and who would fund it (e.g. investor, lender, development finance institution).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provide a breakdown of Tranche 1 by category (hardware, installation, staff, working capital, other), with approximate amounts.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B2. Security &amp; guarantees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Is there any guarantor, collateral or credit enhancement available to support the raise (e.g. corporate or director guarantee, partial credit guarantee, asset security)?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a station defaults on hardware financing, how is the loss handled? Can devices be recovered and redeployed?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B3. Ownership &amp; corporate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29.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provide the current shareholding / cap table of Summit Surds Limited.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30.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is the relationship between Josprix Solutions Limited and Summit Surds Limited? Who owns the Octane Obit software and IP today, and how was it transferred?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B4. Regulatory &amp; licensing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Payment processing (0.3% per transaction): do you hold Central Bank of Kenya authorisation, or operate through a licensed partner? Please specify.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Own licence      ☐ Licensed partner      ☐ Not yet in place</w:t>
      </w: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Lending Module: do you hold (or plan to apply for) a CBK Digital Credit Provider licence, or will lending run through a licensed partner?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Own licence      ☐ Licensed partner      ☐ Not yet in place</w:t>
      </w: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Insurance commissions: are you registered with the Insurance Regulatory Authority, or referring through a licensed intermediary?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Own registration      ☐ Licensed partner      ☐ Not yet in place</w:t>
      </w: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KRA eTIMS: what is the status of your eTIMS integration (e.g. approved integrator, in certification, via a third party)?</w:t>
      </w: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B5. Additional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indicate which of the following you can share: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Certificate of incorporation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Cap table / shareholding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Historical financial statements or management accounts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Detailed use-of-funds breakdown per tranche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Pilot station data or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Signed LOIs / MOUs from waitlisted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IP assignment or agreement between Josprix Solutions and Summit Surds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Copies of relevant licences, or partner agreements (payments, lending, insurance)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Netherlands Embassy grant application or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Team CVs / 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Completed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Name and role:</w:t>
      </w: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Email and phone:</w:t>
      </w: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before="24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Please return the completed form and supporting documents to info@eig.global. All information will be treated as confidential.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info@eig.global   |   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Enigma Investment Group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5J/h/WnvZtHC18fNJPkaMnwbA==">CgMxLjA4AHIhMUk0RXY3T3BnbVJSYU90VFRDWHd0clN3QUJuc3IzUUtw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2026-09-24T10:07:01.530Z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