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641EF" w:rsidRDefault="0050440D">
      <w:pPr>
        <w:pStyle w:val="normal0"/>
      </w:pPr>
      <w:r>
        <w:rPr>
          <w:b/>
          <w:bCs/>
          <w:color w:val="1F2A44"/>
          <w:sz w:val="36"/>
          <w:szCs w:val="36"/>
        </w:rPr>
        <w:t>ENIGMA</w:t>
      </w:r>
    </w:p>
    <w:p w:rsidR="004641EF" w:rsidRDefault="0050440D">
      <w:pPr>
        <w:pStyle w:val="normal0"/>
        <w:spacing w:after="240"/>
      </w:pPr>
      <w:r>
        <w:rPr>
          <w:color w:val="B08D57"/>
          <w:sz w:val="20"/>
          <w:szCs w:val="20"/>
        </w:rPr>
        <w:t>INVESTMENT GROUP</w:t>
      </w:r>
    </w:p>
    <w:p w:rsidR="004641EF" w:rsidRDefault="0050440D">
      <w:pPr>
        <w:pStyle w:val="normal0"/>
        <w:spacing w:after="80"/>
      </w:pPr>
      <w:r>
        <w:rPr>
          <w:b/>
          <w:bCs/>
          <w:color w:val="1F2A44"/>
          <w:sz w:val="34"/>
          <w:szCs w:val="34"/>
        </w:rPr>
        <w:t>Early-Stage Innovation &amp; Technology Screening Form</w:t>
      </w:r>
    </w:p>
    <w:p w:rsidR="004641EF" w:rsidRDefault="0050440D">
      <w:pPr>
        <w:pStyle w:val="normal0"/>
        <w:spacing w:after="60"/>
      </w:pPr>
      <w:r>
        <w:rPr>
          <w:color w:val="1F2A44"/>
          <w:sz w:val="24"/>
          <w:szCs w:val="24"/>
        </w:rPr>
        <w:t>With Supplementary Questions</w:t>
      </w:r>
    </w:p>
    <w:p w:rsidR="004641EF" w:rsidRDefault="0050440D">
      <w:pPr>
        <w:pStyle w:val="normal0"/>
        <w:spacing w:after="120"/>
      </w:pPr>
      <w:r>
        <w:rPr>
          <w:i/>
          <w:iCs/>
          <w:color w:val="666666"/>
          <w:sz w:val="20"/>
          <w:szCs w:val="20"/>
        </w:rPr>
        <w:t>Where an answer is not yet known, please say so — an honest “not yet” is more useful to us than an estimate presented as fact. Answer boxes will expand as you type.</w:t>
      </w:r>
    </w:p>
    <w:p w:rsidR="004641EF" w:rsidRDefault="0050440D">
      <w:pPr>
        <w:pStyle w:val="Heading1"/>
        <w:spacing w:before="200" w:after="80"/>
      </w:pPr>
      <w:r>
        <w:rPr>
          <w:b/>
          <w:bCs/>
          <w:color w:val="1F2A44"/>
        </w:rPr>
        <w:t>Part A — EIG Screening Form</w:t>
      </w:r>
    </w:p>
    <w:p w:rsidR="004641EF" w:rsidRDefault="0050440D">
      <w:pPr>
        <w:pStyle w:val="normal0"/>
        <w:spacing w:after="160"/>
      </w:pPr>
      <w:r>
        <w:rPr>
          <w:i/>
          <w:iCs/>
          <w:color w:val="666666"/>
          <w:sz w:val="20"/>
          <w:szCs w:val="20"/>
        </w:rPr>
        <w:t>Complete all applicable fields.</w:t>
      </w:r>
    </w:p>
    <w:p w:rsidR="004641EF" w:rsidRDefault="0050440D">
      <w:pPr>
        <w:pStyle w:val="Heading2"/>
        <w:pBdr>
          <w:bottom w:val="single" w:sz="8" w:space="4" w:color="B08D57"/>
        </w:pBdr>
        <w:spacing w:before="320" w:after="120"/>
      </w:pPr>
      <w:r>
        <w:rPr>
          <w:b/>
          <w:bCs/>
          <w:color w:val="1F2A44"/>
        </w:rPr>
        <w:t>About the company</w:t>
      </w:r>
    </w:p>
    <w:p w:rsidR="004641EF" w:rsidRDefault="0050440D">
      <w:pPr>
        <w:pStyle w:val="normal0"/>
        <w:keepNext/>
        <w:spacing w:before="200" w:after="60"/>
      </w:pPr>
      <w:r>
        <w:rPr>
          <w:b/>
          <w:bCs/>
          <w:color w:val="1F2A44"/>
        </w:rPr>
        <w:t xml:space="preserve">1. </w:t>
      </w:r>
      <w:r>
        <w:rPr>
          <w:b/>
          <w:bCs/>
        </w:rPr>
        <w:t>Company name:</w:t>
      </w:r>
    </w:p>
    <w:tbl>
      <w:tblPr>
        <w:tblStyle w:val="a"/>
        <w:tblW w:w="96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638"/>
      </w:tblGrid>
      <w:tr w:rsidR="004641EF">
        <w:trPr>
          <w:cantSplit/>
          <w:trHeight w:val="360"/>
          <w:tblHeader/>
        </w:trPr>
        <w:tc>
          <w:tcPr>
            <w:tcW w:w="9638" w:type="dxa"/>
            <w:tcBorders>
              <w:top w:val="single" w:sz="4" w:space="0" w:color="BFC5CF"/>
              <w:left w:val="single" w:sz="4" w:space="0" w:color="BFC5CF"/>
              <w:bottom w:val="single" w:sz="4" w:space="0" w:color="BFC5CF"/>
              <w:right w:val="single" w:sz="4" w:space="0" w:color="BFC5CF"/>
            </w:tcBorders>
            <w:shd w:val="clear" w:color="auto" w:fill="FAFBFC"/>
            <w:tcMar>
              <w:top w:w="80" w:type="dxa"/>
              <w:left w:w="120" w:type="dxa"/>
              <w:bottom w:w="80" w:type="dxa"/>
              <w:right w:w="120" w:type="dxa"/>
            </w:tcMar>
          </w:tcPr>
          <w:p w:rsidR="004641EF" w:rsidRDefault="0050440D">
            <w:pPr>
              <w:pStyle w:val="normal0"/>
            </w:pPr>
            <w:r>
              <w:rPr>
                <w:sz w:val="20"/>
              </w:rPr>
              <w:t>Summit Surds Limited — product: Octane Obit (forecourt management platform)</w:t>
            </w:r>
          </w:p>
        </w:tc>
      </w:tr>
    </w:tbl>
    <w:p w:rsidR="004641EF" w:rsidRDefault="0050440D">
      <w:pPr>
        <w:pStyle w:val="normal0"/>
        <w:keepNext/>
        <w:spacing w:before="200" w:after="60"/>
      </w:pPr>
      <w:r>
        <w:rPr>
          <w:b/>
          <w:bCs/>
          <w:color w:val="1F2A44"/>
        </w:rPr>
        <w:t xml:space="preserve">2. </w:t>
      </w:r>
      <w:r>
        <w:rPr>
          <w:b/>
          <w:bCs/>
        </w:rPr>
        <w:t>Brief overview of the business and product:</w:t>
      </w:r>
    </w:p>
    <w:tbl>
      <w:tblPr>
        <w:tblStyle w:val="a0"/>
        <w:tblW w:w="96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638"/>
      </w:tblGrid>
      <w:tr w:rsidR="004641EF">
        <w:trPr>
          <w:cantSplit/>
          <w:trHeight w:val="1440"/>
          <w:tblHeader/>
        </w:trPr>
        <w:tc>
          <w:tcPr>
            <w:tcW w:w="9638" w:type="dxa"/>
            <w:tcBorders>
              <w:top w:val="single" w:sz="4" w:space="0" w:color="BFC5CF"/>
              <w:left w:val="single" w:sz="4" w:space="0" w:color="BFC5CF"/>
              <w:bottom w:val="single" w:sz="4" w:space="0" w:color="BFC5CF"/>
              <w:right w:val="single" w:sz="4" w:space="0" w:color="BFC5CF"/>
            </w:tcBorders>
            <w:shd w:val="clear" w:color="auto" w:fill="FAFBFC"/>
            <w:tcMar>
              <w:top w:w="80" w:type="dxa"/>
              <w:left w:w="120" w:type="dxa"/>
              <w:bottom w:w="80" w:type="dxa"/>
              <w:right w:w="120" w:type="dxa"/>
            </w:tcMar>
          </w:tcPr>
          <w:p w:rsidR="004641EF" w:rsidRDefault="0050440D">
            <w:pPr>
              <w:pStyle w:val="normal0"/>
            </w:pPr>
            <w:r>
              <w:rPr>
                <w:sz w:val="20"/>
              </w:rPr>
              <w:t>Octane Obit is a forecourt management and reconciliation platform for downstream fuel retailers. It connects every stage of a station's operations — delivery, wet stock (live ATG tank levels), pumps and nozzles, sales (fuel, dry stock, LPG, rental income), cash/M-Pesa/bank and KRA eTIMS fiscalization — into a single reconciliation engine that continuously compares expected against actual.</w:t>
            </w:r>
          </w:p>
          <w:p w:rsidR="004641EF" w:rsidRDefault="0050440D">
            <w:pPr>
              <w:pStyle w:val="normal0"/>
              <w:spacing w:before="80"/>
            </w:pPr>
            <w:r>
              <w:rPr>
                <w:sz w:val="20"/>
              </w:rPr>
              <w:t>Losses from staff theft, unlogged dispensing, meter tampering and unreconciled payments are flagged in the same shift they happen, instead of weeks later at month-end. Shift closure is blocked until an attendant's shift balances, and owners see station, branch or company-wide dashboards in real time.</w:t>
            </w:r>
          </w:p>
          <w:p w:rsidR="004641EF" w:rsidRDefault="0050440D">
            <w:pPr>
              <w:pStyle w:val="normal0"/>
              <w:spacing w:before="80"/>
            </w:pPr>
            <w:r>
              <w:rPr>
                <w:sz w:val="20"/>
              </w:rPr>
              <w:t>The platform is live at three pilot stations — Shell filling station (Mbita), Trio Fuels (Nairobi) and Petrocity (Mombasa). It will be sold as a per-station SaaS subscription, with additional revenue from payment processing, hardware integration and insurance referral commissions.</w:t>
            </w:r>
          </w:p>
        </w:tc>
      </w:tr>
    </w:tbl>
    <w:p w:rsidR="004641EF" w:rsidRDefault="0050440D">
      <w:pPr>
        <w:pStyle w:val="normal0"/>
        <w:keepNext/>
        <w:spacing w:before="200" w:after="60"/>
      </w:pPr>
      <w:r>
        <w:rPr>
          <w:b/>
          <w:bCs/>
          <w:color w:val="1F2A44"/>
        </w:rPr>
        <w:t xml:space="preserve">3. </w:t>
      </w:r>
      <w:r>
        <w:rPr>
          <w:b/>
          <w:bCs/>
        </w:rPr>
        <w:t>Sector(s) the business operates in:</w:t>
      </w:r>
    </w:p>
    <w:p w:rsidR="004641EF" w:rsidRDefault="0050440D">
      <w:pPr>
        <w:pStyle w:val="normal0"/>
        <w:keepNext/>
        <w:spacing w:after="60"/>
      </w:pPr>
      <w:r>
        <w:rPr>
          <w:i/>
          <w:iCs/>
          <w:color w:val="666666"/>
          <w:sz w:val="18"/>
          <w:szCs w:val="18"/>
        </w:rPr>
        <w:t>Note: capital-intensive hardware/manufacturing plays (e.g. EV or battery manufacturing) fall outside this mandate unless the core value proposition is technology- or innovation-led. Other innovation (specify below):</w:t>
      </w:r>
    </w:p>
    <w:p w:rsidR="004641EF" w:rsidRDefault="0050440D">
      <w:pPr>
        <w:pStyle w:val="normal0"/>
        <w:spacing w:after="80"/>
      </w:pPr>
      <w:r>
        <w:rPr>
          <w:sz w:val="20"/>
          <w:szCs w:val="20"/>
        </w:rPr>
        <w:t>☒ Fintech &amp; payments      ☐ Healthtech      ☐ Cleantech / climate &amp; energy      ☐ Agritech      ☐ Logistics &amp; supply chain      ☐ E-commerce / marketplace      ☐ Edtech      ☐ Deep tech / AI</w:t>
      </w:r>
    </w:p>
    <w:tbl>
      <w:tblPr>
        <w:tblStyle w:val="a1"/>
        <w:tblW w:w="96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638"/>
      </w:tblGrid>
      <w:tr w:rsidR="004641EF">
        <w:trPr>
          <w:cantSplit/>
          <w:trHeight w:val="360"/>
          <w:tblHeader/>
        </w:trPr>
        <w:tc>
          <w:tcPr>
            <w:tcW w:w="9638" w:type="dxa"/>
            <w:tcBorders>
              <w:top w:val="single" w:sz="4" w:space="0" w:color="BFC5CF"/>
              <w:left w:val="single" w:sz="4" w:space="0" w:color="BFC5CF"/>
              <w:bottom w:val="single" w:sz="4" w:space="0" w:color="BFC5CF"/>
              <w:right w:val="single" w:sz="4" w:space="0" w:color="BFC5CF"/>
            </w:tcBorders>
            <w:shd w:val="clear" w:color="auto" w:fill="FAFBFC"/>
            <w:tcMar>
              <w:top w:w="80" w:type="dxa"/>
              <w:left w:w="120" w:type="dxa"/>
              <w:bottom w:w="80" w:type="dxa"/>
              <w:right w:w="120" w:type="dxa"/>
            </w:tcMar>
          </w:tcPr>
          <w:p w:rsidR="004641EF" w:rsidRDefault="0050440D">
            <w:pPr>
              <w:pStyle w:val="normal0"/>
            </w:pPr>
            <w:r>
              <w:rPr>
                <w:sz w:val="20"/>
              </w:rPr>
              <w:t>Other: B2B vertical SaaS for downstream fuel retail (forecourt operations, loss prevention and tax-compliance technology), integrated with IoT hardware (ATG tank probes, flow meters, forecourt controllers). The hardware is off-the-shelf and procured, not manufactured; the core value is the software and reconciliation engine. Fintech elements: payment processing and a hardware-financing Lending Module.</w:t>
            </w:r>
          </w:p>
        </w:tc>
      </w:tr>
    </w:tbl>
    <w:p w:rsidR="004641EF" w:rsidRDefault="0050440D">
      <w:pPr>
        <w:pStyle w:val="normal0"/>
        <w:keepNext/>
        <w:spacing w:before="200" w:after="60"/>
      </w:pPr>
      <w:r>
        <w:rPr>
          <w:b/>
          <w:bCs/>
          <w:color w:val="1F2A44"/>
        </w:rPr>
        <w:t xml:space="preserve">4. </w:t>
      </w:r>
      <w:r>
        <w:rPr>
          <w:b/>
          <w:bCs/>
        </w:rPr>
        <w:t>Countries of current operation:</w:t>
      </w:r>
    </w:p>
    <w:tbl>
      <w:tblPr>
        <w:tblStyle w:val="a2"/>
        <w:tblW w:w="96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638"/>
      </w:tblGrid>
      <w:tr w:rsidR="004641EF">
        <w:trPr>
          <w:cantSplit/>
          <w:trHeight w:val="360"/>
          <w:tblHeader/>
        </w:trPr>
        <w:tc>
          <w:tcPr>
            <w:tcW w:w="9638" w:type="dxa"/>
            <w:tcBorders>
              <w:top w:val="single" w:sz="4" w:space="0" w:color="BFC5CF"/>
              <w:left w:val="single" w:sz="4" w:space="0" w:color="BFC5CF"/>
              <w:bottom w:val="single" w:sz="4" w:space="0" w:color="BFC5CF"/>
              <w:right w:val="single" w:sz="4" w:space="0" w:color="BFC5CF"/>
            </w:tcBorders>
            <w:shd w:val="clear" w:color="auto" w:fill="FAFBFC"/>
            <w:tcMar>
              <w:top w:w="80" w:type="dxa"/>
              <w:left w:w="120" w:type="dxa"/>
              <w:bottom w:w="80" w:type="dxa"/>
              <w:right w:w="120" w:type="dxa"/>
            </w:tcMar>
          </w:tcPr>
          <w:p w:rsidR="004641EF" w:rsidRDefault="0050440D">
            <w:pPr>
              <w:pStyle w:val="normal0"/>
            </w:pPr>
            <w:r>
              <w:rPr>
                <w:sz w:val="20"/>
              </w:rPr>
              <w:t>Kenya</w:t>
            </w:r>
          </w:p>
        </w:tc>
      </w:tr>
    </w:tbl>
    <w:p w:rsidR="004641EF" w:rsidRDefault="0050440D">
      <w:pPr>
        <w:pStyle w:val="normal0"/>
        <w:keepNext/>
        <w:spacing w:before="200" w:after="60"/>
      </w:pPr>
      <w:r>
        <w:rPr>
          <w:b/>
          <w:bCs/>
          <w:color w:val="1F2A44"/>
        </w:rPr>
        <w:t xml:space="preserve">5. </w:t>
      </w:r>
      <w:r>
        <w:rPr>
          <w:b/>
          <w:bCs/>
        </w:rPr>
        <w:t>Target countries for expansion:</w:t>
      </w:r>
    </w:p>
    <w:tbl>
      <w:tblPr>
        <w:tblStyle w:val="a3"/>
        <w:tblW w:w="96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638"/>
      </w:tblGrid>
      <w:tr w:rsidR="004641EF">
        <w:trPr>
          <w:cantSplit/>
          <w:trHeight w:val="360"/>
          <w:tblHeader/>
        </w:trPr>
        <w:tc>
          <w:tcPr>
            <w:tcW w:w="9638" w:type="dxa"/>
            <w:tcBorders>
              <w:top w:val="single" w:sz="4" w:space="0" w:color="BFC5CF"/>
              <w:left w:val="single" w:sz="4" w:space="0" w:color="BFC5CF"/>
              <w:bottom w:val="single" w:sz="4" w:space="0" w:color="BFC5CF"/>
              <w:right w:val="single" w:sz="4" w:space="0" w:color="BFC5CF"/>
            </w:tcBorders>
            <w:shd w:val="clear" w:color="auto" w:fill="FAFBFC"/>
            <w:tcMar>
              <w:top w:w="80" w:type="dxa"/>
              <w:left w:w="120" w:type="dxa"/>
              <w:bottom w:w="80" w:type="dxa"/>
              <w:right w:w="120" w:type="dxa"/>
            </w:tcMar>
          </w:tcPr>
          <w:p w:rsidR="004641EF" w:rsidRDefault="0050440D">
            <w:pPr>
              <w:pStyle w:val="normal0"/>
            </w:pPr>
            <w:r>
              <w:rPr>
                <w:sz w:val="20"/>
              </w:rPr>
              <w:t>Zambia (next market — 40+ stations have expressed interest unprompted; early-stage conversations, not yet contracted), followed by other African downstream fuel retail markets.</w:t>
            </w:r>
          </w:p>
        </w:tc>
      </w:tr>
    </w:tbl>
    <w:p w:rsidR="004641EF" w:rsidRDefault="0050440D">
      <w:pPr>
        <w:pStyle w:val="Heading2"/>
        <w:pBdr>
          <w:bottom w:val="single" w:sz="8" w:space="4" w:color="B08D57"/>
        </w:pBdr>
        <w:spacing w:before="320" w:after="120"/>
      </w:pPr>
      <w:r>
        <w:rPr>
          <w:b/>
          <w:bCs/>
          <w:color w:val="1F2A44"/>
        </w:rPr>
        <w:t>Region &amp; compliance</w:t>
      </w:r>
    </w:p>
    <w:p w:rsidR="004641EF" w:rsidRDefault="0050440D">
      <w:pPr>
        <w:pStyle w:val="normal0"/>
        <w:keepNext/>
        <w:spacing w:before="200" w:after="60"/>
      </w:pPr>
      <w:r>
        <w:rPr>
          <w:b/>
          <w:bCs/>
          <w:color w:val="1F2A44"/>
        </w:rPr>
        <w:lastRenderedPageBreak/>
        <w:t xml:space="preserve">6. </w:t>
      </w:r>
      <w:r>
        <w:rPr>
          <w:b/>
          <w:bCs/>
        </w:rPr>
        <w:t>Region(s) of operation:</w:t>
      </w:r>
    </w:p>
    <w:p w:rsidR="004641EF" w:rsidRDefault="0050440D">
      <w:pPr>
        <w:pStyle w:val="normal0"/>
        <w:spacing w:after="80"/>
      </w:pPr>
      <w:r>
        <w:rPr>
          <w:sz w:val="20"/>
          <w:szCs w:val="20"/>
        </w:rPr>
        <w:t>☐ North Africa      ☐ West Africa      ☒ East Africa      ☐ Southern Africa</w:t>
      </w:r>
      <w:r>
        <w:rPr>
          <w:sz w:val="20"/>
        </w:rPr>
        <w:t xml:space="preserve">   (Zambia, the next target market, is in Southern Africa)</w:t>
      </w:r>
    </w:p>
    <w:p w:rsidR="004641EF" w:rsidRDefault="0050440D">
      <w:pPr>
        <w:pStyle w:val="normal0"/>
        <w:keepNext/>
        <w:spacing w:before="200" w:after="60"/>
      </w:pPr>
      <w:r>
        <w:rPr>
          <w:b/>
          <w:bCs/>
          <w:color w:val="1F2A44"/>
        </w:rPr>
        <w:t xml:space="preserve">7. </w:t>
      </w:r>
      <w:r>
        <w:rPr>
          <w:b/>
          <w:bCs/>
        </w:rPr>
        <w:t>Is the country of operation currently free of international sanctions?</w:t>
      </w:r>
    </w:p>
    <w:p w:rsidR="004641EF" w:rsidRDefault="0050440D">
      <w:pPr>
        <w:pStyle w:val="normal0"/>
        <w:spacing w:after="80"/>
      </w:pPr>
      <w:r>
        <w:rPr>
          <w:sz w:val="20"/>
          <w:szCs w:val="20"/>
        </w:rPr>
        <w:t>☒ Yes      ☐ No</w:t>
      </w:r>
    </w:p>
    <w:p w:rsidR="004641EF" w:rsidRDefault="0050440D">
      <w:pPr>
        <w:pStyle w:val="Heading2"/>
        <w:pBdr>
          <w:bottom w:val="single" w:sz="8" w:space="4" w:color="B08D57"/>
        </w:pBdr>
        <w:spacing w:before="320" w:after="120"/>
      </w:pPr>
      <w:r>
        <w:rPr>
          <w:b/>
          <w:bCs/>
          <w:color w:val="1F2A44"/>
        </w:rPr>
        <w:t>Stage &amp; traction</w:t>
      </w:r>
    </w:p>
    <w:p w:rsidR="004641EF" w:rsidRDefault="0050440D">
      <w:pPr>
        <w:pStyle w:val="normal0"/>
        <w:keepNext/>
        <w:spacing w:before="200" w:after="60"/>
      </w:pPr>
      <w:r>
        <w:rPr>
          <w:b/>
          <w:bCs/>
          <w:color w:val="1F2A44"/>
        </w:rPr>
        <w:t xml:space="preserve">8. </w:t>
      </w:r>
      <w:r>
        <w:rPr>
          <w:b/>
          <w:bCs/>
        </w:rPr>
        <w:t>Company stage:</w:t>
      </w:r>
    </w:p>
    <w:p w:rsidR="004641EF" w:rsidRDefault="0050440D">
      <w:pPr>
        <w:pStyle w:val="normal0"/>
        <w:spacing w:after="80"/>
      </w:pPr>
      <w:r>
        <w:rPr>
          <w:sz w:val="20"/>
          <w:szCs w:val="20"/>
        </w:rPr>
        <w:t>☐</w:t>
      </w:r>
      <w:r w:rsidR="00CE783B">
        <w:rPr>
          <w:sz w:val="20"/>
          <w:szCs w:val="20"/>
        </w:rPr>
        <w:t xml:space="preserve"> Pre-seed      </w:t>
      </w:r>
      <w:r>
        <w:rPr>
          <w:sz w:val="20"/>
          <w:szCs w:val="20"/>
        </w:rPr>
        <w:t> Seed      ☐ Already trading</w:t>
      </w:r>
    </w:p>
    <w:p w:rsidR="004641EF" w:rsidRDefault="0050440D">
      <w:pPr>
        <w:pStyle w:val="normal0"/>
        <w:keepNext/>
        <w:spacing w:before="200" w:after="60"/>
      </w:pPr>
      <w:r>
        <w:rPr>
          <w:b/>
          <w:bCs/>
          <w:color w:val="1F2A44"/>
        </w:rPr>
        <w:t xml:space="preserve">9. </w:t>
      </w:r>
      <w:r>
        <w:rPr>
          <w:b/>
          <w:bCs/>
        </w:rPr>
        <w:t>If already trading: how long has the company been operating, and what traction can you demonstrate (users, transaction volume, signed pilots/MOUs)?</w:t>
      </w:r>
    </w:p>
    <w:tbl>
      <w:tblPr>
        <w:tblStyle w:val="a4"/>
        <w:tblW w:w="96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638"/>
      </w:tblGrid>
      <w:tr w:rsidR="004641EF">
        <w:trPr>
          <w:cantSplit/>
          <w:trHeight w:val="1440"/>
          <w:tblHeader/>
        </w:trPr>
        <w:tc>
          <w:tcPr>
            <w:tcW w:w="9638" w:type="dxa"/>
            <w:tcBorders>
              <w:top w:val="single" w:sz="4" w:space="0" w:color="BFC5CF"/>
              <w:left w:val="single" w:sz="4" w:space="0" w:color="BFC5CF"/>
              <w:bottom w:val="single" w:sz="4" w:space="0" w:color="BFC5CF"/>
              <w:right w:val="single" w:sz="4" w:space="0" w:color="BFC5CF"/>
            </w:tcBorders>
            <w:shd w:val="clear" w:color="auto" w:fill="FAFBFC"/>
            <w:tcMar>
              <w:top w:w="80" w:type="dxa"/>
              <w:left w:w="120" w:type="dxa"/>
              <w:bottom w:w="80" w:type="dxa"/>
              <w:right w:w="120" w:type="dxa"/>
            </w:tcMar>
          </w:tcPr>
          <w:p w:rsidR="004641EF" w:rsidRDefault="0050440D">
            <w:pPr>
              <w:pStyle w:val="normal0"/>
            </w:pPr>
            <w:r>
              <w:rPr>
                <w:sz w:val="20"/>
              </w:rPr>
              <w:t>The platform has been in development since 2021 (initially funded by Josprix Solutions Limited) and is owned and commercialised by Summit Surds Limited. Paid commercial rollout has not started yet.</w:t>
            </w:r>
          </w:p>
          <w:p w:rsidR="004641EF" w:rsidRDefault="0050440D">
            <w:pPr>
              <w:pStyle w:val="normal0"/>
              <w:spacing w:before="80"/>
            </w:pPr>
            <w:r>
              <w:rPr>
                <w:sz w:val="20"/>
              </w:rPr>
              <w:t>Traction to date:</w:t>
            </w:r>
          </w:p>
          <w:p w:rsidR="004641EF" w:rsidRDefault="0050440D">
            <w:pPr>
              <w:pStyle w:val="normal0"/>
              <w:spacing w:before="80"/>
            </w:pPr>
            <w:r>
              <w:rPr>
                <w:sz w:val="20"/>
              </w:rPr>
              <w:t>• Live at three pilot stations — Shell filling station (Mbita), Trio Fuels (Nairobi) and Petrocity (Mombasa) — real-time delivery, tank, pump, sales and payment reconciliation in production, including automated KRA eTIMS fiscalization and shift closing. The pilots are run free of charge to validate the platform.</w:t>
            </w:r>
          </w:p>
          <w:p w:rsidR="004641EF" w:rsidRDefault="0050440D">
            <w:pPr>
              <w:pStyle w:val="normal0"/>
              <w:spacing w:before="80"/>
            </w:pPr>
            <w:r>
              <w:rPr>
                <w:sz w:val="20"/>
              </w:rPr>
              <w:t>• 50+ station owners on a referral waitlist, 5 of whom have signed LOIs/MOUs.</w:t>
            </w:r>
          </w:p>
          <w:p w:rsidR="004641EF" w:rsidRDefault="0050440D">
            <w:pPr>
              <w:pStyle w:val="normal0"/>
              <w:spacing w:before="80"/>
            </w:pPr>
            <w:r>
              <w:rPr>
                <w:sz w:val="20"/>
              </w:rPr>
              <w:t>• 40+ stations in Zambia have expressed interest unprompted (not yet contracted).</w:t>
            </w:r>
          </w:p>
          <w:p w:rsidR="004641EF" w:rsidRDefault="0050440D">
            <w:pPr>
              <w:pStyle w:val="normal0"/>
              <w:spacing w:before="80"/>
            </w:pPr>
            <w:r>
              <w:rPr>
                <w:sz w:val="20"/>
              </w:rPr>
              <w:t>• The same model is under technical and commercial review for a Netherlands Embassy Business Climate Programme grant.</w:t>
            </w:r>
          </w:p>
        </w:tc>
      </w:tr>
    </w:tbl>
    <w:p w:rsidR="004641EF" w:rsidRDefault="0050440D">
      <w:pPr>
        <w:pStyle w:val="normal0"/>
        <w:keepNext/>
        <w:spacing w:before="200" w:after="60"/>
      </w:pPr>
      <w:r>
        <w:rPr>
          <w:b/>
          <w:bCs/>
          <w:color w:val="1F2A44"/>
        </w:rPr>
        <w:t xml:space="preserve">10. </w:t>
      </w:r>
      <w:r>
        <w:rPr>
          <w:b/>
          <w:bCs/>
        </w:rPr>
        <w:t>Current monthly or annual revenue, if any:</w:t>
      </w:r>
    </w:p>
    <w:tbl>
      <w:tblPr>
        <w:tblStyle w:val="a5"/>
        <w:tblW w:w="96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638"/>
      </w:tblGrid>
      <w:tr w:rsidR="004641EF">
        <w:trPr>
          <w:cantSplit/>
          <w:trHeight w:val="360"/>
          <w:tblHeader/>
        </w:trPr>
        <w:tc>
          <w:tcPr>
            <w:tcW w:w="9638" w:type="dxa"/>
            <w:tcBorders>
              <w:top w:val="single" w:sz="4" w:space="0" w:color="BFC5CF"/>
              <w:left w:val="single" w:sz="4" w:space="0" w:color="BFC5CF"/>
              <w:bottom w:val="single" w:sz="4" w:space="0" w:color="BFC5CF"/>
              <w:right w:val="single" w:sz="4" w:space="0" w:color="BFC5CF"/>
            </w:tcBorders>
            <w:shd w:val="clear" w:color="auto" w:fill="FAFBFC"/>
            <w:tcMar>
              <w:top w:w="80" w:type="dxa"/>
              <w:left w:w="120" w:type="dxa"/>
              <w:bottom w:w="80" w:type="dxa"/>
              <w:right w:w="120" w:type="dxa"/>
            </w:tcMar>
          </w:tcPr>
          <w:p w:rsidR="004641EF" w:rsidRDefault="0050440D">
            <w:pPr>
              <w:pStyle w:val="normal0"/>
            </w:pPr>
            <w:r>
              <w:rPr>
                <w:sz w:val="20"/>
              </w:rPr>
              <w:t>Pre-revenue. The three pilot stations use the platform free of charge; subscription billing begins with the funded rollout.</w:t>
            </w:r>
          </w:p>
        </w:tc>
      </w:tr>
    </w:tbl>
    <w:p w:rsidR="004641EF" w:rsidRDefault="0050440D">
      <w:pPr>
        <w:pStyle w:val="Heading2"/>
        <w:pBdr>
          <w:bottom w:val="single" w:sz="8" w:space="4" w:color="B08D57"/>
        </w:pBdr>
        <w:spacing w:before="320" w:after="120"/>
      </w:pPr>
      <w:r>
        <w:rPr>
          <w:b/>
          <w:bCs/>
          <w:color w:val="1F2A44"/>
        </w:rPr>
        <w:t>Team &amp; business model</w:t>
      </w:r>
    </w:p>
    <w:p w:rsidR="004641EF" w:rsidRDefault="0050440D">
      <w:pPr>
        <w:pStyle w:val="normal0"/>
        <w:keepNext/>
        <w:spacing w:before="200" w:after="60"/>
      </w:pPr>
      <w:r>
        <w:rPr>
          <w:b/>
          <w:bCs/>
          <w:color w:val="1F2A44"/>
        </w:rPr>
        <w:t xml:space="preserve">11. </w:t>
      </w:r>
      <w:r>
        <w:rPr>
          <w:b/>
          <w:bCs/>
        </w:rPr>
        <w:t>Founding team overview and relevant experience:</w:t>
      </w:r>
    </w:p>
    <w:tbl>
      <w:tblPr>
        <w:tblStyle w:val="a6"/>
        <w:tblW w:w="96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638"/>
      </w:tblGrid>
      <w:tr w:rsidR="004641EF">
        <w:trPr>
          <w:cantSplit/>
          <w:trHeight w:val="1800"/>
          <w:tblHeader/>
        </w:trPr>
        <w:tc>
          <w:tcPr>
            <w:tcW w:w="9638" w:type="dxa"/>
            <w:tcBorders>
              <w:top w:val="single" w:sz="4" w:space="0" w:color="BFC5CF"/>
              <w:left w:val="single" w:sz="4" w:space="0" w:color="BFC5CF"/>
              <w:bottom w:val="single" w:sz="4" w:space="0" w:color="BFC5CF"/>
              <w:right w:val="single" w:sz="4" w:space="0" w:color="BFC5CF"/>
            </w:tcBorders>
            <w:shd w:val="clear" w:color="auto" w:fill="FAFBFC"/>
            <w:tcMar>
              <w:top w:w="80" w:type="dxa"/>
              <w:left w:w="120" w:type="dxa"/>
              <w:bottom w:w="80" w:type="dxa"/>
              <w:right w:w="120" w:type="dxa"/>
            </w:tcMar>
          </w:tcPr>
          <w:p w:rsidR="000E7D9F" w:rsidRDefault="000E7D9F" w:rsidP="000E7D9F">
            <w:pPr>
              <w:pStyle w:val="normal0"/>
              <w:rPr>
                <w:i/>
                <w:sz w:val="20"/>
              </w:rPr>
            </w:pPr>
            <w:r>
              <w:rPr>
                <w:i/>
                <w:sz w:val="20"/>
              </w:rPr>
              <w:t>Nicholas Kaweru – Operations Lead</w:t>
            </w:r>
          </w:p>
          <w:p w:rsidR="000E7D9F" w:rsidRDefault="000E7D9F" w:rsidP="000E7D9F">
            <w:pPr>
              <w:pStyle w:val="normal0"/>
              <w:rPr>
                <w:i/>
                <w:sz w:val="20"/>
              </w:rPr>
            </w:pPr>
            <w:r>
              <w:rPr>
                <w:i/>
                <w:sz w:val="20"/>
              </w:rPr>
              <w:t xml:space="preserve">Jeremiah Asanya  -Chief  Technology Officer </w:t>
            </w:r>
          </w:p>
          <w:p w:rsidR="000E7D9F" w:rsidRDefault="000E7D9F" w:rsidP="000E7D9F">
            <w:pPr>
              <w:pStyle w:val="normal0"/>
              <w:rPr>
                <w:i/>
                <w:sz w:val="20"/>
              </w:rPr>
            </w:pPr>
            <w:r>
              <w:rPr>
                <w:i/>
                <w:sz w:val="20"/>
              </w:rPr>
              <w:t>Joseph Ngethe – Operations and funder Josprix</w:t>
            </w:r>
          </w:p>
          <w:p w:rsidR="000E7D9F" w:rsidRDefault="000E7D9F" w:rsidP="000E7D9F">
            <w:pPr>
              <w:pStyle w:val="normal0"/>
              <w:rPr>
                <w:i/>
                <w:sz w:val="20"/>
              </w:rPr>
            </w:pPr>
            <w:r>
              <w:rPr>
                <w:i/>
                <w:sz w:val="20"/>
              </w:rPr>
              <w:t xml:space="preserve">Lilian Mwende – Petroleum industry  expert and team Lead </w:t>
            </w:r>
          </w:p>
          <w:p w:rsidR="000E7D9F" w:rsidRDefault="000E7D9F" w:rsidP="000E7D9F">
            <w:pPr>
              <w:pStyle w:val="normal0"/>
              <w:rPr>
                <w:i/>
                <w:sz w:val="20"/>
              </w:rPr>
            </w:pPr>
            <w:r>
              <w:rPr>
                <w:i/>
                <w:sz w:val="20"/>
              </w:rPr>
              <w:t xml:space="preserve">Ken Molete – CEO </w:t>
            </w:r>
          </w:p>
          <w:p w:rsidR="000E7D9F" w:rsidRDefault="000E7D9F" w:rsidP="000E7D9F">
            <w:pPr>
              <w:pStyle w:val="normal0"/>
              <w:rPr>
                <w:i/>
                <w:sz w:val="20"/>
              </w:rPr>
            </w:pPr>
          </w:p>
          <w:p w:rsidR="004641EF" w:rsidRDefault="0050440D" w:rsidP="000E7D9F">
            <w:pPr>
              <w:pStyle w:val="normal0"/>
            </w:pPr>
            <w:r>
              <w:rPr>
                <w:sz w:val="20"/>
              </w:rPr>
              <w:t xml:space="preserve">Summit Surds </w:t>
            </w:r>
            <w:r w:rsidRPr="0058297E">
              <w:rPr>
                <w:sz w:val="20"/>
              </w:rPr>
              <w:t>Limited</w:t>
            </w:r>
            <w:r>
              <w:rPr>
                <w:sz w:val="20"/>
              </w:rPr>
              <w:t xml:space="preserve"> is </w:t>
            </w:r>
            <w:r w:rsidRPr="0058297E">
              <w:rPr>
                <w:sz w:val="20"/>
              </w:rPr>
              <w:t>committing</w:t>
            </w:r>
            <w:r>
              <w:rPr>
                <w:sz w:val="20"/>
              </w:rPr>
              <w:t xml:space="preserve"> its own capital and technical team alongside this raise (KES 89.6M / ~US$515K in cash and in-kind). The platform has been in development since 2021, and the technical team has built the full stack in production: forecourt controller (FDC) and ATG integrations, KRA eTIMS fiscalization, M-Pesa/card/cash payment flows, POS integrations and executive reporting.</w:t>
            </w:r>
          </w:p>
        </w:tc>
      </w:tr>
    </w:tbl>
    <w:p w:rsidR="004641EF" w:rsidRDefault="0050440D">
      <w:pPr>
        <w:pStyle w:val="normal0"/>
        <w:keepNext/>
        <w:spacing w:before="200" w:after="60"/>
      </w:pPr>
      <w:r>
        <w:rPr>
          <w:b/>
          <w:bCs/>
          <w:color w:val="1F2A44"/>
        </w:rPr>
        <w:lastRenderedPageBreak/>
        <w:t xml:space="preserve">12. </w:t>
      </w:r>
      <w:r>
        <w:rPr>
          <w:b/>
          <w:bCs/>
        </w:rPr>
        <w:t>Value proposition and target customer:</w:t>
      </w:r>
    </w:p>
    <w:tbl>
      <w:tblPr>
        <w:tblStyle w:val="a7"/>
        <w:tblW w:w="96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638"/>
      </w:tblGrid>
      <w:tr w:rsidR="004641EF">
        <w:trPr>
          <w:cantSplit/>
          <w:trHeight w:val="1080"/>
          <w:tblHeader/>
        </w:trPr>
        <w:tc>
          <w:tcPr>
            <w:tcW w:w="9638" w:type="dxa"/>
            <w:tcBorders>
              <w:top w:val="single" w:sz="4" w:space="0" w:color="BFC5CF"/>
              <w:left w:val="single" w:sz="4" w:space="0" w:color="BFC5CF"/>
              <w:bottom w:val="single" w:sz="4" w:space="0" w:color="BFC5CF"/>
              <w:right w:val="single" w:sz="4" w:space="0" w:color="BFC5CF"/>
            </w:tcBorders>
            <w:shd w:val="clear" w:color="auto" w:fill="FAFBFC"/>
            <w:tcMar>
              <w:top w:w="80" w:type="dxa"/>
              <w:left w:w="120" w:type="dxa"/>
              <w:bottom w:w="80" w:type="dxa"/>
              <w:right w:w="120" w:type="dxa"/>
            </w:tcMar>
          </w:tcPr>
          <w:p w:rsidR="004641EF" w:rsidRDefault="0050440D">
            <w:pPr>
              <w:pStyle w:val="normal0"/>
            </w:pPr>
            <w:r>
              <w:rPr>
                <w:sz w:val="20"/>
              </w:rPr>
              <w:t>Target customer: independent and dealer-operated fuel station owners in Kenya — a market of 12,000+ stations of which fewer than 1,000 are automated. The addressable segment is 5,000–10,000 stations. Multi-site operators (companies with several branches) are a priority, because the platform is built multi-company, multi-branch and multi-station.</w:t>
            </w:r>
          </w:p>
          <w:p w:rsidR="004641EF" w:rsidRDefault="0050440D">
            <w:pPr>
              <w:pStyle w:val="normal0"/>
              <w:spacing w:before="80"/>
            </w:pPr>
            <w:r>
              <w:rPr>
                <w:sz w:val="20"/>
              </w:rPr>
              <w:t>Value proposition: stations lose an estimated ~300 L per month to shrinkage (≈ KES 774,000 / US$5,981 per station per year at ~KES 215/L). Octane Obit makes that loss visible and attributable to a shift and an attendant as it happens, and it automates the M-Pesa/eTIMS/bank reconciliation that is done by hand today. The per-station investment typically pays back in under 12 months.</w:t>
            </w:r>
          </w:p>
        </w:tc>
      </w:tr>
    </w:tbl>
    <w:p w:rsidR="004641EF" w:rsidRDefault="0050440D">
      <w:pPr>
        <w:pStyle w:val="normal0"/>
        <w:keepNext/>
        <w:spacing w:before="200" w:after="60"/>
      </w:pPr>
      <w:r>
        <w:rPr>
          <w:b/>
          <w:bCs/>
          <w:color w:val="1F2A44"/>
        </w:rPr>
        <w:t xml:space="preserve">13. </w:t>
      </w:r>
      <w:r>
        <w:rPr>
          <w:b/>
          <w:bCs/>
        </w:rPr>
        <w:t>Competitive advantage / defensibility:</w:t>
      </w:r>
    </w:p>
    <w:p w:rsidR="004641EF" w:rsidRDefault="0050440D">
      <w:pPr>
        <w:pStyle w:val="normal0"/>
        <w:keepNext/>
        <w:spacing w:after="60"/>
      </w:pPr>
      <w:r>
        <w:rPr>
          <w:i/>
          <w:iCs/>
          <w:color w:val="666666"/>
          <w:sz w:val="18"/>
          <w:szCs w:val="18"/>
        </w:rPr>
        <w:t>Please name any existing competitors or alternatives station owners currently use.</w:t>
      </w:r>
    </w:p>
    <w:tbl>
      <w:tblPr>
        <w:tblStyle w:val="a8"/>
        <w:tblW w:w="96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638"/>
      </w:tblGrid>
      <w:tr w:rsidR="004641EF">
        <w:trPr>
          <w:cantSplit/>
          <w:trHeight w:val="1080"/>
          <w:tblHeader/>
        </w:trPr>
        <w:tc>
          <w:tcPr>
            <w:tcW w:w="9638" w:type="dxa"/>
            <w:tcBorders>
              <w:top w:val="single" w:sz="4" w:space="0" w:color="BFC5CF"/>
              <w:left w:val="single" w:sz="4" w:space="0" w:color="BFC5CF"/>
              <w:bottom w:val="single" w:sz="4" w:space="0" w:color="BFC5CF"/>
              <w:right w:val="single" w:sz="4" w:space="0" w:color="BFC5CF"/>
            </w:tcBorders>
            <w:shd w:val="clear" w:color="auto" w:fill="FAFBFC"/>
            <w:tcMar>
              <w:top w:w="80" w:type="dxa"/>
              <w:left w:w="120" w:type="dxa"/>
              <w:bottom w:w="80" w:type="dxa"/>
              <w:right w:w="120" w:type="dxa"/>
            </w:tcMar>
          </w:tcPr>
          <w:p w:rsidR="004641EF" w:rsidRDefault="0050440D">
            <w:pPr>
              <w:pStyle w:val="normal0"/>
            </w:pPr>
            <w:r>
              <w:rPr>
                <w:sz w:val="20"/>
              </w:rPr>
              <w:t>Defensibility:</w:t>
            </w:r>
          </w:p>
          <w:p w:rsidR="004641EF" w:rsidRDefault="0050440D">
            <w:pPr>
              <w:pStyle w:val="normal0"/>
              <w:spacing w:before="80"/>
            </w:pPr>
            <w:r>
              <w:rPr>
                <w:sz w:val="20"/>
              </w:rPr>
              <w:t>• End-to-end reconciliation: delivery → tank → pump → sale → cash/bank in a single engine, rather than POS or fiscalization alone.</w:t>
            </w:r>
          </w:p>
          <w:p w:rsidR="004641EF" w:rsidRDefault="0050440D">
            <w:pPr>
              <w:pStyle w:val="normal0"/>
              <w:spacing w:before="80"/>
            </w:pPr>
            <w:r>
              <w:rPr>
                <w:sz w:val="20"/>
              </w:rPr>
              <w:t>• KRA eTIMS fiscalization built in, so compliance is the hook that gets us into the station.</w:t>
            </w:r>
          </w:p>
          <w:p w:rsidR="004641EF" w:rsidRDefault="0050440D">
            <w:pPr>
              <w:pStyle w:val="normal0"/>
              <w:spacing w:before="80"/>
            </w:pPr>
            <w:r>
              <w:rPr>
                <w:sz w:val="20"/>
              </w:rPr>
              <w:t>• Deep hardware integrations (forecourt controllers, ATG probes, flow meters) that are costly to replicate, plus switching costs once a station's shift and stock history lives on the platform.</w:t>
            </w:r>
          </w:p>
          <w:p w:rsidR="004641EF" w:rsidRDefault="0050440D">
            <w:pPr>
              <w:pStyle w:val="normal0"/>
              <w:spacing w:before="80"/>
            </w:pPr>
            <w:r>
              <w:rPr>
                <w:sz w:val="20"/>
              </w:rPr>
              <w:t>• A hardware-plus-financing bundle that removes the upfront-capital barrier.</w:t>
            </w:r>
          </w:p>
          <w:p w:rsidR="004641EF" w:rsidRDefault="0050440D">
            <w:pPr>
              <w:pStyle w:val="normal0"/>
              <w:spacing w:before="80"/>
            </w:pPr>
            <w:r>
              <w:rPr>
                <w:sz w:val="20"/>
              </w:rPr>
              <w:t>• Multi-company, multi-branch architecture built for regional rollout without redesign.</w:t>
            </w:r>
          </w:p>
          <w:p w:rsidR="004641EF" w:rsidRDefault="0050440D">
            <w:pPr>
              <w:pStyle w:val="normal0"/>
              <w:spacing w:before="80"/>
            </w:pPr>
            <w:r>
              <w:rPr>
                <w:sz w:val="20"/>
              </w:rPr>
              <w:t>Current alternatives used by station owners: paper delivery notes and pump-reading books, Excel spreadsheets, standalone ETR/eTIMS devices, and basic POS systems that do not reconcile stock, pumps, payments and bank.</w:t>
            </w:r>
          </w:p>
        </w:tc>
      </w:tr>
    </w:tbl>
    <w:p w:rsidR="004641EF" w:rsidRDefault="0050440D">
      <w:pPr>
        <w:pStyle w:val="normal0"/>
        <w:keepNext/>
        <w:spacing w:before="200" w:after="60"/>
      </w:pPr>
      <w:r>
        <w:rPr>
          <w:b/>
          <w:bCs/>
          <w:color w:val="1F2A44"/>
        </w:rPr>
        <w:t xml:space="preserve">14. </w:t>
      </w:r>
      <w:r>
        <w:rPr>
          <w:b/>
          <w:bCs/>
        </w:rPr>
        <w:t>Route to profitability:</w:t>
      </w:r>
    </w:p>
    <w:tbl>
      <w:tblPr>
        <w:tblStyle w:val="a9"/>
        <w:tblW w:w="96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638"/>
      </w:tblGrid>
      <w:tr w:rsidR="004641EF">
        <w:trPr>
          <w:cantSplit/>
          <w:trHeight w:val="1080"/>
          <w:tblHeader/>
        </w:trPr>
        <w:tc>
          <w:tcPr>
            <w:tcW w:w="9638" w:type="dxa"/>
            <w:tcBorders>
              <w:top w:val="single" w:sz="4" w:space="0" w:color="BFC5CF"/>
              <w:left w:val="single" w:sz="4" w:space="0" w:color="BFC5CF"/>
              <w:bottom w:val="single" w:sz="4" w:space="0" w:color="BFC5CF"/>
              <w:right w:val="single" w:sz="4" w:space="0" w:color="BFC5CF"/>
            </w:tcBorders>
            <w:shd w:val="clear" w:color="auto" w:fill="FAFBFC"/>
            <w:tcMar>
              <w:top w:w="80" w:type="dxa"/>
              <w:left w:w="120" w:type="dxa"/>
              <w:bottom w:w="80" w:type="dxa"/>
              <w:right w:w="120" w:type="dxa"/>
            </w:tcMar>
          </w:tcPr>
          <w:p w:rsidR="004641EF" w:rsidRDefault="0050440D">
            <w:pPr>
              <w:pStyle w:val="normal0"/>
            </w:pPr>
            <w:r>
              <w:rPr>
                <w:sz w:val="20"/>
              </w:rPr>
              <w:t>Revenue per station comes from a SaaS subscription of KES 25,000–30,000 (US$193–232) per month, plus 0.3% on processed transactions, hardware installation and maintenance margin, and insurance referral commissions.</w:t>
            </w:r>
          </w:p>
          <w:p w:rsidR="004641EF" w:rsidRDefault="0050440D">
            <w:pPr>
              <w:pStyle w:val="normal0"/>
              <w:spacing w:before="80"/>
            </w:pPr>
            <w:r>
              <w:rPr>
                <w:sz w:val="20"/>
              </w:rPr>
              <w:t>Break-even: estimated at 10–20 live stations on subscription revenue — reached within the 30-stations-in-120-days rollout funded by Tranche 1.</w:t>
            </w:r>
          </w:p>
          <w:p w:rsidR="004641EF" w:rsidRDefault="0050440D">
            <w:pPr>
              <w:pStyle w:val="normal0"/>
              <w:spacing w:before="80"/>
            </w:pPr>
            <w:r>
              <w:rPr>
                <w:sz w:val="20"/>
              </w:rPr>
              <w:t>Subscriptions alone: 100 stations (Year One target) ≈ US$232K–278K ARR; the 5,000–10,000-station addressable market ≈ US$12.7M–25.5M ARR.</w:t>
            </w:r>
          </w:p>
          <w:p w:rsidR="004641EF" w:rsidRDefault="0050440D">
            <w:pPr>
              <w:pStyle w:val="normal0"/>
              <w:spacing w:before="80"/>
            </w:pPr>
            <w:r>
              <w:rPr>
                <w:sz w:val="20"/>
              </w:rPr>
              <w:t>Per-station setup pays back in under 12 months through recovered shrinkage plus subscription, which keeps unit economics positive from each station's first year.</w:t>
            </w:r>
          </w:p>
        </w:tc>
      </w:tr>
    </w:tbl>
    <w:p w:rsidR="004641EF" w:rsidRDefault="0050440D">
      <w:pPr>
        <w:pStyle w:val="Heading2"/>
        <w:pBdr>
          <w:bottom w:val="single" w:sz="8" w:space="4" w:color="B08D57"/>
        </w:pBdr>
        <w:spacing w:before="320" w:after="120"/>
      </w:pPr>
      <w:r>
        <w:rPr>
          <w:b/>
          <w:bCs/>
          <w:color w:val="1F2A44"/>
        </w:rPr>
        <w:t>Financials</w:t>
      </w:r>
    </w:p>
    <w:p w:rsidR="004641EF" w:rsidRDefault="0050440D">
      <w:pPr>
        <w:pStyle w:val="normal0"/>
        <w:keepNext/>
        <w:spacing w:before="200" w:after="60"/>
      </w:pPr>
      <w:r>
        <w:rPr>
          <w:b/>
          <w:bCs/>
          <w:color w:val="1F2A44"/>
        </w:rPr>
        <w:t xml:space="preserve">15. </w:t>
      </w:r>
      <w:r>
        <w:rPr>
          <w:b/>
          <w:bCs/>
        </w:rPr>
        <w:t>Are three-year financial projections available (revenue, profitability, cash flow and key assumptions)?</w:t>
      </w:r>
    </w:p>
    <w:p w:rsidR="004641EF" w:rsidRDefault="0050440D">
      <w:pPr>
        <w:pStyle w:val="normal0"/>
        <w:spacing w:after="80"/>
      </w:pPr>
      <w:r>
        <w:rPr>
          <w:sz w:val="20"/>
          <w:szCs w:val="20"/>
        </w:rPr>
        <w:t>☐ Yes      ☒ No</w:t>
      </w:r>
    </w:p>
    <w:p w:rsidR="004641EF" w:rsidRDefault="0050440D">
      <w:pPr>
        <w:pStyle w:val="normal0"/>
        <w:keepNext/>
        <w:spacing w:before="200" w:after="60"/>
      </w:pPr>
      <w:r>
        <w:rPr>
          <w:b/>
          <w:bCs/>
          <w:color w:val="1F2A44"/>
        </w:rPr>
        <w:t xml:space="preserve">16. </w:t>
      </w:r>
      <w:r>
        <w:rPr>
          <w:b/>
          <w:bCs/>
        </w:rPr>
        <w:t>Key assumptions underpinning the projections:</w:t>
      </w:r>
    </w:p>
    <w:tbl>
      <w:tblPr>
        <w:tblStyle w:val="aa"/>
        <w:tblW w:w="96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638"/>
      </w:tblGrid>
      <w:tr w:rsidR="004641EF">
        <w:trPr>
          <w:cantSplit/>
          <w:trHeight w:val="1080"/>
          <w:tblHeader/>
        </w:trPr>
        <w:tc>
          <w:tcPr>
            <w:tcW w:w="9638" w:type="dxa"/>
            <w:tcBorders>
              <w:top w:val="single" w:sz="4" w:space="0" w:color="BFC5CF"/>
              <w:left w:val="single" w:sz="4" w:space="0" w:color="BFC5CF"/>
              <w:bottom w:val="single" w:sz="4" w:space="0" w:color="BFC5CF"/>
              <w:right w:val="single" w:sz="4" w:space="0" w:color="BFC5CF"/>
            </w:tcBorders>
            <w:shd w:val="clear" w:color="auto" w:fill="FAFBFC"/>
            <w:tcMar>
              <w:top w:w="80" w:type="dxa"/>
              <w:left w:w="120" w:type="dxa"/>
              <w:bottom w:w="80" w:type="dxa"/>
              <w:right w:w="120" w:type="dxa"/>
            </w:tcMar>
          </w:tcPr>
          <w:p w:rsidR="004641EF" w:rsidRDefault="0050440D">
            <w:pPr>
              <w:pStyle w:val="normal0"/>
            </w:pPr>
            <w:r>
              <w:rPr>
                <w:sz w:val="20"/>
              </w:rPr>
              <w:t>A full three-year model is not yet prepared. The key assumptions used so far are:</w:t>
            </w:r>
          </w:p>
          <w:p w:rsidR="004641EF" w:rsidRDefault="0050440D">
            <w:pPr>
              <w:pStyle w:val="normal0"/>
              <w:spacing w:before="80"/>
            </w:pPr>
            <w:r>
              <w:rPr>
                <w:sz w:val="20"/>
              </w:rPr>
              <w:t>• ~300 L shrinkage per station per month; blended pump price ~KES 215/L.</w:t>
            </w:r>
          </w:p>
          <w:p w:rsidR="004641EF" w:rsidRDefault="0050440D">
            <w:pPr>
              <w:pStyle w:val="normal0"/>
              <w:spacing w:before="80"/>
            </w:pPr>
            <w:r>
              <w:rPr>
                <w:sz w:val="20"/>
              </w:rPr>
              <w:t>• Subscription KES 25,000–30,000 per station per month; 0.3% transaction fee; per-station rollout cost KES 370K–750K (see Q26); payback under 12 months.</w:t>
            </w:r>
          </w:p>
          <w:p w:rsidR="004641EF" w:rsidRDefault="0050440D">
            <w:pPr>
              <w:pStyle w:val="normal0"/>
              <w:spacing w:before="80"/>
            </w:pPr>
            <w:r>
              <w:rPr>
                <w:sz w:val="20"/>
              </w:rPr>
              <w:t>• Break-even at 10–20 live stations.</w:t>
            </w:r>
          </w:p>
          <w:p w:rsidR="004641EF" w:rsidRDefault="0050440D">
            <w:pPr>
              <w:pStyle w:val="normal0"/>
              <w:spacing w:before="80"/>
            </w:pPr>
            <w:r>
              <w:rPr>
                <w:sz w:val="20"/>
              </w:rPr>
              <w:t>• Rollout: ~10 stations per month onboarded → 30 stations in 120 days → 100 stations in Year One, supported by the 50+ station waitlist (5 signed LOIs).</w:t>
            </w:r>
          </w:p>
          <w:p w:rsidR="004641EF" w:rsidRDefault="0050440D">
            <w:pPr>
              <w:pStyle w:val="normal0"/>
              <w:spacing w:before="80"/>
            </w:pPr>
            <w:r>
              <w:rPr>
                <w:sz w:val="20"/>
              </w:rPr>
              <w:t>• Hardware financing repaid over 6–12 months (up to 18 months for some stations).</w:t>
            </w:r>
          </w:p>
          <w:p w:rsidR="004641EF" w:rsidRDefault="0050440D">
            <w:pPr>
              <w:pStyle w:val="normal0"/>
              <w:spacing w:before="80"/>
            </w:pPr>
            <w:r>
              <w:rPr>
                <w:sz w:val="20"/>
              </w:rPr>
              <w:t>• FX used: ~KES 129.4 per US$.</w:t>
            </w:r>
          </w:p>
        </w:tc>
      </w:tr>
    </w:tbl>
    <w:p w:rsidR="004641EF" w:rsidRDefault="0050440D">
      <w:pPr>
        <w:pStyle w:val="normal0"/>
        <w:keepNext/>
        <w:spacing w:before="200" w:after="60"/>
      </w:pPr>
      <w:r>
        <w:rPr>
          <w:b/>
          <w:bCs/>
          <w:color w:val="1F2A44"/>
        </w:rPr>
        <w:lastRenderedPageBreak/>
        <w:t xml:space="preserve">17. </w:t>
      </w:r>
      <w:r>
        <w:rPr>
          <w:b/>
          <w:bCs/>
        </w:rPr>
        <w:t>Current financial status:</w:t>
      </w:r>
    </w:p>
    <w:p w:rsidR="004641EF" w:rsidRDefault="0050440D">
      <w:pPr>
        <w:pStyle w:val="normal0"/>
        <w:spacing w:after="80"/>
      </w:pPr>
      <w:r>
        <w:rPr>
          <w:sz w:val="20"/>
          <w:szCs w:val="20"/>
        </w:rPr>
        <w:t>☒ Pre-revenue      ☐ Revenue-generating, not yet profitable      ☐ Profitable</w:t>
      </w:r>
    </w:p>
    <w:p w:rsidR="004641EF" w:rsidRDefault="0050440D">
      <w:pPr>
        <w:pStyle w:val="Heading2"/>
        <w:pBdr>
          <w:bottom w:val="single" w:sz="8" w:space="4" w:color="B08D57"/>
        </w:pBdr>
        <w:spacing w:before="320" w:after="120"/>
      </w:pPr>
      <w:r>
        <w:rPr>
          <w:b/>
          <w:bCs/>
          <w:color w:val="1F2A44"/>
        </w:rPr>
        <w:t>Funding ask</w:t>
      </w:r>
    </w:p>
    <w:p w:rsidR="004641EF" w:rsidRDefault="0050440D">
      <w:pPr>
        <w:pStyle w:val="normal0"/>
        <w:keepNext/>
        <w:spacing w:before="200" w:after="60"/>
      </w:pPr>
      <w:r>
        <w:rPr>
          <w:b/>
          <w:bCs/>
          <w:color w:val="1F2A44"/>
        </w:rPr>
        <w:t xml:space="preserve">18. </w:t>
      </w:r>
      <w:r>
        <w:rPr>
          <w:b/>
          <w:bCs/>
        </w:rPr>
        <w:t>Amount being raised:</w:t>
      </w:r>
    </w:p>
    <w:tbl>
      <w:tblPr>
        <w:tblStyle w:val="ab"/>
        <w:tblW w:w="96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638"/>
      </w:tblGrid>
      <w:tr w:rsidR="004641EF">
        <w:trPr>
          <w:cantSplit/>
          <w:trHeight w:val="360"/>
          <w:tblHeader/>
        </w:trPr>
        <w:tc>
          <w:tcPr>
            <w:tcW w:w="9638" w:type="dxa"/>
            <w:tcBorders>
              <w:top w:val="single" w:sz="4" w:space="0" w:color="BFC5CF"/>
              <w:left w:val="single" w:sz="4" w:space="0" w:color="BFC5CF"/>
              <w:bottom w:val="single" w:sz="4" w:space="0" w:color="BFC5CF"/>
              <w:right w:val="single" w:sz="4" w:space="0" w:color="BFC5CF"/>
            </w:tcBorders>
            <w:shd w:val="clear" w:color="auto" w:fill="FAFBFC"/>
            <w:tcMar>
              <w:top w:w="80" w:type="dxa"/>
              <w:left w:w="120" w:type="dxa"/>
              <w:bottom w:w="80" w:type="dxa"/>
              <w:right w:w="120" w:type="dxa"/>
            </w:tcMar>
          </w:tcPr>
          <w:p w:rsidR="004641EF" w:rsidRDefault="0050440D">
            <w:pPr>
              <w:pStyle w:val="normal0"/>
            </w:pPr>
            <w:r>
              <w:rPr>
                <w:sz w:val="20"/>
              </w:rPr>
              <w:t>Total US$1.5M–6M in two tranches:</w:t>
            </w:r>
          </w:p>
          <w:p w:rsidR="004641EF" w:rsidRDefault="0050440D">
            <w:pPr>
              <w:pStyle w:val="normal0"/>
              <w:spacing w:before="80"/>
            </w:pPr>
            <w:r>
              <w:rPr>
                <w:sz w:val="20"/>
              </w:rPr>
              <w:t>• Tranche 1 — Implementation: US$500K–1M (≈ KES 64.7M–129.4M)</w:t>
            </w:r>
          </w:p>
          <w:p w:rsidR="004641EF" w:rsidRDefault="0050440D">
            <w:pPr>
              <w:pStyle w:val="normal0"/>
              <w:spacing w:before="80"/>
            </w:pPr>
            <w:r>
              <w:rPr>
                <w:sz w:val="20"/>
              </w:rPr>
              <w:t>• Tranche 2 — Lending Module, sustainability &amp; development: US$1M–5M (≈ KES 129.4M–647M)</w:t>
            </w:r>
          </w:p>
          <w:p w:rsidR="004641EF" w:rsidRDefault="0050440D">
            <w:pPr>
              <w:pStyle w:val="normal0"/>
              <w:spacing w:before="80"/>
            </w:pPr>
            <w:r>
              <w:rPr>
                <w:sz w:val="20"/>
              </w:rPr>
              <w:t>Summit Surds is committing KES 89.6M (~US$515K) of its own cash and in-kind capital alongside this raise.</w:t>
            </w:r>
          </w:p>
        </w:tc>
      </w:tr>
    </w:tbl>
    <w:p w:rsidR="004641EF" w:rsidRDefault="0050440D">
      <w:pPr>
        <w:pStyle w:val="normal0"/>
        <w:keepNext/>
        <w:spacing w:before="200" w:after="60"/>
      </w:pPr>
      <w:r>
        <w:rPr>
          <w:b/>
          <w:bCs/>
          <w:color w:val="1F2A44"/>
        </w:rPr>
        <w:t xml:space="preserve">19. </w:t>
      </w:r>
      <w:r>
        <w:rPr>
          <w:b/>
          <w:bCs/>
        </w:rPr>
        <w:t>Intended use of funds:</w:t>
      </w:r>
    </w:p>
    <w:tbl>
      <w:tblPr>
        <w:tblStyle w:val="ac"/>
        <w:tblW w:w="96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638"/>
      </w:tblGrid>
      <w:tr w:rsidR="004641EF">
        <w:trPr>
          <w:cantSplit/>
          <w:trHeight w:val="1080"/>
          <w:tblHeader/>
        </w:trPr>
        <w:tc>
          <w:tcPr>
            <w:tcW w:w="9638" w:type="dxa"/>
            <w:tcBorders>
              <w:top w:val="single" w:sz="4" w:space="0" w:color="BFC5CF"/>
              <w:left w:val="single" w:sz="4" w:space="0" w:color="BFC5CF"/>
              <w:bottom w:val="single" w:sz="4" w:space="0" w:color="BFC5CF"/>
              <w:right w:val="single" w:sz="4" w:space="0" w:color="BFC5CF"/>
            </w:tcBorders>
            <w:shd w:val="clear" w:color="auto" w:fill="FAFBFC"/>
            <w:tcMar>
              <w:top w:w="80" w:type="dxa"/>
              <w:left w:w="120" w:type="dxa"/>
              <w:bottom w:w="80" w:type="dxa"/>
              <w:right w:w="120" w:type="dxa"/>
            </w:tcMar>
          </w:tcPr>
          <w:p w:rsidR="004641EF" w:rsidRDefault="0050440D">
            <w:pPr>
              <w:pStyle w:val="normal0"/>
            </w:pPr>
            <w:r>
              <w:rPr>
                <w:sz w:val="20"/>
              </w:rPr>
              <w:t>Tranche 1: hardware (ATG probes, flow meters, POS), installation, station onboarding and staff training, working capital, and related rollout costs — to take stations from pilot to paid, live reconciliation (30 stations in 120 days, 100 in Year One). See Q26 for the per-station breakdown.</w:t>
            </w:r>
          </w:p>
          <w:p w:rsidR="004641EF" w:rsidRDefault="0050440D">
            <w:pPr>
              <w:pStyle w:val="normal0"/>
              <w:spacing w:before="80"/>
            </w:pPr>
            <w:r>
              <w:rPr>
                <w:sz w:val="20"/>
              </w:rPr>
              <w:t>Tranche 2: capitalising the hardware-financing Lending Module (so stations get devices without upfront capital), continued platform development, long-term operational sustainability, and regional expansion starting with Zambia.</w:t>
            </w:r>
          </w:p>
        </w:tc>
      </w:tr>
    </w:tbl>
    <w:p w:rsidR="004641EF" w:rsidRDefault="0050440D">
      <w:pPr>
        <w:pStyle w:val="normal0"/>
        <w:keepNext/>
        <w:spacing w:before="200" w:after="60"/>
      </w:pPr>
      <w:r>
        <w:rPr>
          <w:b/>
          <w:bCs/>
          <w:color w:val="1F2A44"/>
        </w:rPr>
        <w:t xml:space="preserve">20. </w:t>
      </w:r>
      <w:r>
        <w:rPr>
          <w:b/>
          <w:bCs/>
        </w:rPr>
        <w:t>Key milestones this investment will help the business achieve:</w:t>
      </w:r>
    </w:p>
    <w:tbl>
      <w:tblPr>
        <w:tblStyle w:val="ad"/>
        <w:tblW w:w="96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638"/>
      </w:tblGrid>
      <w:tr w:rsidR="004641EF">
        <w:trPr>
          <w:cantSplit/>
          <w:trHeight w:val="1080"/>
          <w:tblHeader/>
        </w:trPr>
        <w:tc>
          <w:tcPr>
            <w:tcW w:w="9638" w:type="dxa"/>
            <w:tcBorders>
              <w:top w:val="single" w:sz="4" w:space="0" w:color="BFC5CF"/>
              <w:left w:val="single" w:sz="4" w:space="0" w:color="BFC5CF"/>
              <w:bottom w:val="single" w:sz="4" w:space="0" w:color="BFC5CF"/>
              <w:right w:val="single" w:sz="4" w:space="0" w:color="BFC5CF"/>
            </w:tcBorders>
            <w:shd w:val="clear" w:color="auto" w:fill="FAFBFC"/>
            <w:tcMar>
              <w:top w:w="80" w:type="dxa"/>
              <w:left w:w="120" w:type="dxa"/>
              <w:bottom w:w="80" w:type="dxa"/>
              <w:right w:w="120" w:type="dxa"/>
            </w:tcMar>
          </w:tcPr>
          <w:p w:rsidR="004641EF" w:rsidRDefault="0050440D">
            <w:pPr>
              <w:pStyle w:val="normal0"/>
            </w:pPr>
            <w:r>
              <w:rPr>
                <w:sz w:val="20"/>
              </w:rPr>
              <w:t>• Days 1–30: hardware procured; install queue and onboarding sequence locked with first-wave stations (starting with the 5 LOI signatories).</w:t>
            </w:r>
          </w:p>
          <w:p w:rsidR="004641EF" w:rsidRDefault="0050440D">
            <w:pPr>
              <w:pStyle w:val="normal0"/>
              <w:spacing w:before="80"/>
            </w:pPr>
            <w:r>
              <w:rPr>
                <w:sz w:val="20"/>
              </w:rPr>
              <w:t>• Days 31–90: phased onboarding at ~10 stations per month.</w:t>
            </w:r>
          </w:p>
          <w:p w:rsidR="004641EF" w:rsidRDefault="0050440D">
            <w:pPr>
              <w:pStyle w:val="normal0"/>
              <w:spacing w:before="80"/>
            </w:pPr>
            <w:r>
              <w:rPr>
                <w:sz w:val="20"/>
              </w:rPr>
              <w:t>• Day 120: 30 stations live and reconciling — past the 10–20-station break-even point; loss-recovery case studies packaged.</w:t>
            </w:r>
          </w:p>
          <w:p w:rsidR="004641EF" w:rsidRDefault="0050440D">
            <w:pPr>
              <w:pStyle w:val="normal0"/>
              <w:spacing w:before="80"/>
            </w:pPr>
            <w:r>
              <w:rPr>
                <w:sz w:val="20"/>
              </w:rPr>
              <w:t>• Year One: 100 stations live.</w:t>
            </w:r>
          </w:p>
          <w:p w:rsidR="004641EF" w:rsidRDefault="0050440D">
            <w:pPr>
              <w:pStyle w:val="normal0"/>
              <w:spacing w:before="80"/>
            </w:pPr>
            <w:r>
              <w:rPr>
                <w:sz w:val="20"/>
              </w:rPr>
              <w:t>• Lending Module capitalised for regional rollout, starting with Zambia.</w:t>
            </w:r>
          </w:p>
        </w:tc>
      </w:tr>
    </w:tbl>
    <w:p w:rsidR="004641EF" w:rsidRDefault="0050440D">
      <w:pPr>
        <w:pStyle w:val="Heading2"/>
        <w:pBdr>
          <w:bottom w:val="single" w:sz="8" w:space="4" w:color="B08D57"/>
        </w:pBdr>
        <w:spacing w:before="320" w:after="120"/>
      </w:pPr>
      <w:r>
        <w:rPr>
          <w:b/>
          <w:bCs/>
          <w:color w:val="1F2A44"/>
        </w:rPr>
        <w:t>Documentation checklist</w:t>
      </w:r>
    </w:p>
    <w:p w:rsidR="004641EF" w:rsidRDefault="0050440D">
      <w:pPr>
        <w:pStyle w:val="normal0"/>
        <w:keepNext/>
        <w:spacing w:before="200" w:after="60"/>
      </w:pPr>
      <w:r>
        <w:rPr>
          <w:b/>
          <w:bCs/>
          <w:color w:val="1F2A44"/>
        </w:rPr>
        <w:t xml:space="preserve">21. </w:t>
      </w:r>
      <w:r>
        <w:rPr>
          <w:b/>
          <w:bCs/>
        </w:rPr>
        <w:t>Documents ready for submission:</w:t>
      </w:r>
    </w:p>
    <w:p w:rsidR="004641EF" w:rsidRDefault="0050440D">
      <w:pPr>
        <w:pStyle w:val="normal0"/>
        <w:spacing w:after="60"/>
      </w:pPr>
      <w:r>
        <w:rPr>
          <w:sz w:val="22"/>
          <w:szCs w:val="22"/>
        </w:rPr>
        <w:t xml:space="preserve">☒  </w:t>
      </w:r>
      <w:r>
        <w:rPr>
          <w:sz w:val="20"/>
          <w:szCs w:val="20"/>
        </w:rPr>
        <w:t>Investor pitch deck</w:t>
      </w:r>
    </w:p>
    <w:p w:rsidR="004641EF" w:rsidRDefault="0050440D">
      <w:pPr>
        <w:pStyle w:val="normal0"/>
        <w:spacing w:after="60"/>
      </w:pPr>
      <w:r>
        <w:rPr>
          <w:sz w:val="22"/>
          <w:szCs w:val="22"/>
        </w:rPr>
        <w:t xml:space="preserve">☐  </w:t>
      </w:r>
      <w:r>
        <w:rPr>
          <w:sz w:val="20"/>
          <w:szCs w:val="20"/>
        </w:rPr>
        <w:t>Three-year financial projections</w:t>
      </w:r>
    </w:p>
    <w:p w:rsidR="004641EF" w:rsidRDefault="0050440D">
      <w:pPr>
        <w:pStyle w:val="normal0"/>
        <w:spacing w:after="60"/>
      </w:pPr>
      <w:r>
        <w:rPr>
          <w:sz w:val="22"/>
          <w:szCs w:val="22"/>
        </w:rPr>
        <w:t xml:space="preserve">☒  </w:t>
      </w:r>
      <w:r>
        <w:rPr>
          <w:sz w:val="20"/>
          <w:szCs w:val="20"/>
        </w:rPr>
        <w:t>Use-of-funds &amp; milestones summary</w:t>
      </w:r>
    </w:p>
    <w:p w:rsidR="004641EF" w:rsidRDefault="0050440D">
      <w:pPr>
        <w:pStyle w:val="normal0"/>
      </w:pPr>
      <w:r>
        <w:br w:type="page"/>
      </w:r>
    </w:p>
    <w:p w:rsidR="004641EF" w:rsidRDefault="0050440D">
      <w:pPr>
        <w:pStyle w:val="Heading1"/>
        <w:spacing w:before="200" w:after="80"/>
      </w:pPr>
      <w:r>
        <w:rPr>
          <w:b/>
          <w:bCs/>
          <w:color w:val="1F2A44"/>
        </w:rPr>
        <w:lastRenderedPageBreak/>
        <w:t>Part B — Supplementary Questions</w:t>
      </w:r>
    </w:p>
    <w:p w:rsidR="004641EF" w:rsidRDefault="0050440D">
      <w:pPr>
        <w:pStyle w:val="normal0"/>
        <w:spacing w:after="160"/>
      </w:pPr>
      <w:r>
        <w:rPr>
          <w:i/>
          <w:iCs/>
          <w:color w:val="666666"/>
          <w:sz w:val="20"/>
          <w:szCs w:val="20"/>
        </w:rPr>
        <w:t>Specific to the Octane Obit raise. Numbering continues from Part A.</w:t>
      </w:r>
    </w:p>
    <w:p w:rsidR="004641EF" w:rsidRDefault="0050440D">
      <w:pPr>
        <w:pStyle w:val="Heading2"/>
        <w:pBdr>
          <w:bottom w:val="single" w:sz="8" w:space="4" w:color="B08D57"/>
        </w:pBdr>
        <w:spacing w:before="320" w:after="120"/>
      </w:pPr>
      <w:r>
        <w:rPr>
          <w:b/>
          <w:bCs/>
          <w:color w:val="1F2A44"/>
        </w:rPr>
        <w:t>B1. Funding structure &amp; terms</w:t>
      </w:r>
    </w:p>
    <w:p w:rsidR="004641EF" w:rsidRDefault="0050440D">
      <w:pPr>
        <w:pStyle w:val="normal0"/>
        <w:keepNext/>
        <w:spacing w:before="200" w:after="60"/>
      </w:pPr>
      <w:r>
        <w:rPr>
          <w:b/>
          <w:bCs/>
          <w:color w:val="1F2A44"/>
        </w:rPr>
        <w:t xml:space="preserve">22. </w:t>
      </w:r>
      <w:r>
        <w:rPr>
          <w:b/>
          <w:bCs/>
        </w:rPr>
        <w:t>For each tranche, what type of capital are you seeking?</w:t>
      </w:r>
    </w:p>
    <w:tbl>
      <w:tblPr>
        <w:tblStyle w:val="ae"/>
        <w:tblW w:w="96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200"/>
        <w:gridCol w:w="7438"/>
      </w:tblGrid>
      <w:tr w:rsidR="004641EF">
        <w:trPr>
          <w:cantSplit/>
          <w:trHeight w:val="300"/>
          <w:tblHeader/>
        </w:trPr>
        <w:tc>
          <w:tcPr>
            <w:tcW w:w="2200" w:type="dxa"/>
            <w:tcBorders>
              <w:top w:val="single" w:sz="4" w:space="0" w:color="BFC5CF"/>
              <w:left w:val="single" w:sz="4" w:space="0" w:color="BFC5CF"/>
              <w:bottom w:val="single" w:sz="4" w:space="0" w:color="BFC5CF"/>
              <w:right w:val="single" w:sz="4" w:space="0" w:color="BFC5CF"/>
            </w:tcBorders>
            <w:shd w:val="clear" w:color="auto" w:fill="1F2A44"/>
            <w:tcMar>
              <w:top w:w="80" w:type="dxa"/>
              <w:left w:w="120" w:type="dxa"/>
              <w:bottom w:w="80" w:type="dxa"/>
              <w:right w:w="120" w:type="dxa"/>
            </w:tcMar>
          </w:tcPr>
          <w:p w:rsidR="004641EF" w:rsidRDefault="004641EF">
            <w:pPr>
              <w:pStyle w:val="normal0"/>
            </w:pPr>
          </w:p>
        </w:tc>
        <w:tc>
          <w:tcPr>
            <w:tcW w:w="7438" w:type="dxa"/>
            <w:tcBorders>
              <w:top w:val="single" w:sz="4" w:space="0" w:color="BFC5CF"/>
              <w:left w:val="single" w:sz="4" w:space="0" w:color="BFC5CF"/>
              <w:bottom w:val="single" w:sz="4" w:space="0" w:color="BFC5CF"/>
              <w:right w:val="single" w:sz="4" w:space="0" w:color="BFC5CF"/>
            </w:tcBorders>
            <w:shd w:val="clear" w:color="auto" w:fill="1F2A44"/>
            <w:tcMar>
              <w:top w:w="80" w:type="dxa"/>
              <w:left w:w="120" w:type="dxa"/>
              <w:bottom w:w="80" w:type="dxa"/>
              <w:right w:w="120" w:type="dxa"/>
            </w:tcMar>
          </w:tcPr>
          <w:p w:rsidR="004641EF" w:rsidRDefault="0050440D">
            <w:pPr>
              <w:pStyle w:val="normal0"/>
            </w:pPr>
            <w:r>
              <w:rPr>
                <w:b/>
                <w:bCs/>
                <w:color w:val="FFFFFF"/>
                <w:sz w:val="20"/>
                <w:szCs w:val="20"/>
              </w:rPr>
              <w:t>Instrument (equity / debt / convertible / grant / open) and key terms</w:t>
            </w:r>
          </w:p>
        </w:tc>
      </w:tr>
      <w:tr w:rsidR="004641EF">
        <w:trPr>
          <w:cantSplit/>
          <w:trHeight w:val="700"/>
          <w:tblHeader/>
        </w:trPr>
        <w:tc>
          <w:tcPr>
            <w:tcW w:w="2200" w:type="dxa"/>
            <w:tcBorders>
              <w:top w:val="single" w:sz="4" w:space="0" w:color="BFC5CF"/>
              <w:left w:val="single" w:sz="4" w:space="0" w:color="BFC5CF"/>
              <w:bottom w:val="single" w:sz="4" w:space="0" w:color="BFC5CF"/>
              <w:right w:val="single" w:sz="4" w:space="0" w:color="BFC5CF"/>
            </w:tcBorders>
            <w:shd w:val="clear" w:color="auto" w:fill="F2F4F7"/>
            <w:tcMar>
              <w:top w:w="80" w:type="dxa"/>
              <w:left w:w="120" w:type="dxa"/>
              <w:bottom w:w="80" w:type="dxa"/>
              <w:right w:w="120" w:type="dxa"/>
            </w:tcMar>
          </w:tcPr>
          <w:p w:rsidR="004641EF" w:rsidRDefault="0050440D">
            <w:pPr>
              <w:pStyle w:val="normal0"/>
            </w:pPr>
            <w:r>
              <w:rPr>
                <w:b/>
                <w:bCs/>
                <w:color w:val="1F2A44"/>
                <w:sz w:val="20"/>
                <w:szCs w:val="20"/>
              </w:rPr>
              <w:t>Tranche 1</w:t>
            </w:r>
          </w:p>
        </w:tc>
        <w:tc>
          <w:tcPr>
            <w:tcW w:w="7438" w:type="dxa"/>
            <w:tcBorders>
              <w:top w:val="single" w:sz="4" w:space="0" w:color="BFC5CF"/>
              <w:left w:val="single" w:sz="4" w:space="0" w:color="BFC5CF"/>
              <w:bottom w:val="single" w:sz="4" w:space="0" w:color="BFC5CF"/>
              <w:right w:val="single" w:sz="4" w:space="0" w:color="BFC5CF"/>
            </w:tcBorders>
            <w:tcMar>
              <w:top w:w="80" w:type="dxa"/>
              <w:left w:w="120" w:type="dxa"/>
              <w:bottom w:w="80" w:type="dxa"/>
              <w:right w:w="120" w:type="dxa"/>
            </w:tcMar>
          </w:tcPr>
          <w:p w:rsidR="004641EF" w:rsidRDefault="0050440D">
            <w:pPr>
              <w:pStyle w:val="normal0"/>
            </w:pPr>
            <w:r>
              <w:rPr>
                <w:color w:val="666666"/>
                <w:sz w:val="20"/>
                <w:szCs w:val="20"/>
              </w:rPr>
              <w:t>☐ Equity   ☐ Debt   ☐ Convertible   ☐ Grant   ☒ Open to discussion</w:t>
            </w:r>
          </w:p>
          <w:p w:rsidR="004641EF" w:rsidRDefault="0050440D">
            <w:pPr>
              <w:pStyle w:val="normal0"/>
            </w:pPr>
            <w:r>
              <w:rPr>
                <w:sz w:val="20"/>
              </w:rPr>
              <w:t>Open to the instrument EIG considers most suitable. Per-station hardware and installation pay back in under 12 months, which suits debt or asset finance; onboarding and working capital suit equity.</w:t>
            </w:r>
          </w:p>
        </w:tc>
      </w:tr>
      <w:tr w:rsidR="004641EF">
        <w:trPr>
          <w:cantSplit/>
          <w:trHeight w:val="700"/>
          <w:tblHeader/>
        </w:trPr>
        <w:tc>
          <w:tcPr>
            <w:tcW w:w="2200" w:type="dxa"/>
            <w:tcBorders>
              <w:top w:val="single" w:sz="4" w:space="0" w:color="BFC5CF"/>
              <w:left w:val="single" w:sz="4" w:space="0" w:color="BFC5CF"/>
              <w:bottom w:val="single" w:sz="4" w:space="0" w:color="BFC5CF"/>
              <w:right w:val="single" w:sz="4" w:space="0" w:color="BFC5CF"/>
            </w:tcBorders>
            <w:shd w:val="clear" w:color="auto" w:fill="F2F4F7"/>
            <w:tcMar>
              <w:top w:w="80" w:type="dxa"/>
              <w:left w:w="120" w:type="dxa"/>
              <w:bottom w:w="80" w:type="dxa"/>
              <w:right w:w="120" w:type="dxa"/>
            </w:tcMar>
          </w:tcPr>
          <w:p w:rsidR="004641EF" w:rsidRDefault="0050440D">
            <w:pPr>
              <w:pStyle w:val="normal0"/>
            </w:pPr>
            <w:r>
              <w:rPr>
                <w:b/>
                <w:bCs/>
                <w:color w:val="1F2A44"/>
                <w:sz w:val="20"/>
                <w:szCs w:val="20"/>
              </w:rPr>
              <w:t>Tranche 2</w:t>
            </w:r>
          </w:p>
        </w:tc>
        <w:tc>
          <w:tcPr>
            <w:tcW w:w="7438" w:type="dxa"/>
            <w:tcBorders>
              <w:top w:val="single" w:sz="4" w:space="0" w:color="BFC5CF"/>
              <w:left w:val="single" w:sz="4" w:space="0" w:color="BFC5CF"/>
              <w:bottom w:val="single" w:sz="4" w:space="0" w:color="BFC5CF"/>
              <w:right w:val="single" w:sz="4" w:space="0" w:color="BFC5CF"/>
            </w:tcBorders>
            <w:tcMar>
              <w:top w:w="80" w:type="dxa"/>
              <w:left w:w="120" w:type="dxa"/>
              <w:bottom w:w="80" w:type="dxa"/>
              <w:right w:w="120" w:type="dxa"/>
            </w:tcMar>
          </w:tcPr>
          <w:p w:rsidR="004641EF" w:rsidRDefault="0050440D">
            <w:pPr>
              <w:pStyle w:val="normal0"/>
            </w:pPr>
            <w:r>
              <w:rPr>
                <w:color w:val="666666"/>
                <w:sz w:val="20"/>
                <w:szCs w:val="20"/>
              </w:rPr>
              <w:t>☐ Equity   ☐ Debt   ☐ Convertible   ☐ Grant   ☒ Open to discussion</w:t>
            </w:r>
          </w:p>
          <w:p w:rsidR="004641EF" w:rsidRDefault="0050440D">
            <w:pPr>
              <w:pStyle w:val="normal0"/>
            </w:pPr>
            <w:r>
              <w:rPr>
                <w:sz w:val="20"/>
              </w:rPr>
              <w:t>Open to discussion. Lending capital suits debt or blended finance (e.g. DFI or impact lender); development and regional expansion could be funded by equity or grant.</w:t>
            </w:r>
          </w:p>
        </w:tc>
      </w:tr>
    </w:tbl>
    <w:p w:rsidR="004641EF" w:rsidRDefault="0050440D">
      <w:pPr>
        <w:pStyle w:val="normal0"/>
        <w:keepNext/>
        <w:spacing w:before="200" w:after="60"/>
      </w:pPr>
      <w:r>
        <w:rPr>
          <w:b/>
          <w:bCs/>
          <w:color w:val="1F2A44"/>
        </w:rPr>
        <w:t xml:space="preserve">23. </w:t>
      </w:r>
      <w:r>
        <w:rPr>
          <w:b/>
          <w:bCs/>
        </w:rPr>
        <w:t>If equity: what pre-money valuation are you proposing, and what percentage stake is on offer? How was the valuation arrived at?</w:t>
      </w:r>
    </w:p>
    <w:tbl>
      <w:tblPr>
        <w:tblStyle w:val="af"/>
        <w:tblW w:w="96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638"/>
      </w:tblGrid>
      <w:tr w:rsidR="004641EF">
        <w:trPr>
          <w:cantSplit/>
          <w:trHeight w:val="1080"/>
          <w:tblHeader/>
        </w:trPr>
        <w:tc>
          <w:tcPr>
            <w:tcW w:w="9638" w:type="dxa"/>
            <w:tcBorders>
              <w:top w:val="single" w:sz="4" w:space="0" w:color="BFC5CF"/>
              <w:left w:val="single" w:sz="4" w:space="0" w:color="BFC5CF"/>
              <w:bottom w:val="single" w:sz="4" w:space="0" w:color="BFC5CF"/>
              <w:right w:val="single" w:sz="4" w:space="0" w:color="BFC5CF"/>
            </w:tcBorders>
            <w:shd w:val="clear" w:color="auto" w:fill="FAFBFC"/>
            <w:tcMar>
              <w:top w:w="80" w:type="dxa"/>
              <w:left w:w="120" w:type="dxa"/>
              <w:bottom w:w="80" w:type="dxa"/>
              <w:right w:w="120" w:type="dxa"/>
            </w:tcMar>
          </w:tcPr>
          <w:p w:rsidR="004641EF" w:rsidRDefault="0050440D">
            <w:pPr>
              <w:pStyle w:val="normal0"/>
            </w:pPr>
            <w:r>
              <w:rPr>
                <w:sz w:val="20"/>
              </w:rPr>
              <w:t>No valuation has been set yet. We are open to discussing valuation and stake with EIG.</w:t>
            </w:r>
          </w:p>
        </w:tc>
      </w:tr>
    </w:tbl>
    <w:p w:rsidR="004641EF" w:rsidRDefault="0050440D">
      <w:pPr>
        <w:pStyle w:val="normal0"/>
        <w:keepNext/>
        <w:spacing w:before="200" w:after="60"/>
      </w:pPr>
      <w:r>
        <w:rPr>
          <w:b/>
          <w:bCs/>
          <w:color w:val="1F2A44"/>
        </w:rPr>
        <w:t xml:space="preserve">24. </w:t>
      </w:r>
      <w:r>
        <w:rPr>
          <w:b/>
          <w:bCs/>
        </w:rPr>
        <w:t>If debt: what loan amount, term, interest rate and repayment schedule are you proposing?</w:t>
      </w:r>
    </w:p>
    <w:tbl>
      <w:tblPr>
        <w:tblStyle w:val="af0"/>
        <w:tblW w:w="96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638"/>
      </w:tblGrid>
      <w:tr w:rsidR="004641EF">
        <w:trPr>
          <w:cantSplit/>
          <w:trHeight w:val="1080"/>
          <w:tblHeader/>
        </w:trPr>
        <w:tc>
          <w:tcPr>
            <w:tcW w:w="9638" w:type="dxa"/>
            <w:tcBorders>
              <w:top w:val="single" w:sz="4" w:space="0" w:color="BFC5CF"/>
              <w:left w:val="single" w:sz="4" w:space="0" w:color="BFC5CF"/>
              <w:bottom w:val="single" w:sz="4" w:space="0" w:color="BFC5CF"/>
              <w:right w:val="single" w:sz="4" w:space="0" w:color="BFC5CF"/>
            </w:tcBorders>
            <w:shd w:val="clear" w:color="auto" w:fill="FAFBFC"/>
            <w:tcMar>
              <w:top w:w="80" w:type="dxa"/>
              <w:left w:w="120" w:type="dxa"/>
              <w:bottom w:w="80" w:type="dxa"/>
              <w:right w:w="120" w:type="dxa"/>
            </w:tcMar>
          </w:tcPr>
          <w:p w:rsidR="004641EF" w:rsidRDefault="0050440D">
            <w:pPr>
              <w:pStyle w:val="normal0"/>
            </w:pPr>
            <w:r>
              <w:rPr>
                <w:sz w:val="20"/>
              </w:rPr>
              <w:t>No fixed debt terms have been proposed yet; we are open to EIG's proposed structure. Per-station payback under 12 months and hardware-financing repayments of 6–18 months would support a short-to-medium-term facility, ideally with a grace period covering the 120-day rollout.</w:t>
            </w:r>
          </w:p>
        </w:tc>
      </w:tr>
    </w:tbl>
    <w:p w:rsidR="004641EF" w:rsidRDefault="0050440D">
      <w:pPr>
        <w:pStyle w:val="normal0"/>
        <w:keepNext/>
        <w:spacing w:before="200" w:after="60"/>
      </w:pPr>
      <w:r>
        <w:rPr>
          <w:b/>
          <w:bCs/>
          <w:color w:val="1F2A44"/>
        </w:rPr>
        <w:t xml:space="preserve">25. </w:t>
      </w:r>
      <w:r>
        <w:rPr>
          <w:b/>
          <w:bCs/>
        </w:rPr>
        <w:t>Please explain how the Lending Module (Tranche 2) would work in practice: who borrows, on what terms, how repayments are collected, and who would fund it (e.g. investor, lender, development finance institution).</w:t>
      </w:r>
    </w:p>
    <w:tbl>
      <w:tblPr>
        <w:tblStyle w:val="af1"/>
        <w:tblW w:w="96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638"/>
      </w:tblGrid>
      <w:tr w:rsidR="004641EF">
        <w:trPr>
          <w:cantSplit/>
          <w:trHeight w:val="1440"/>
          <w:tblHeader/>
        </w:trPr>
        <w:tc>
          <w:tcPr>
            <w:tcW w:w="9638" w:type="dxa"/>
            <w:tcBorders>
              <w:top w:val="single" w:sz="4" w:space="0" w:color="BFC5CF"/>
              <w:left w:val="single" w:sz="4" w:space="0" w:color="BFC5CF"/>
              <w:bottom w:val="single" w:sz="4" w:space="0" w:color="BFC5CF"/>
              <w:right w:val="single" w:sz="4" w:space="0" w:color="BFC5CF"/>
            </w:tcBorders>
            <w:shd w:val="clear" w:color="auto" w:fill="FAFBFC"/>
            <w:tcMar>
              <w:top w:w="80" w:type="dxa"/>
              <w:left w:w="120" w:type="dxa"/>
              <w:bottom w:w="80" w:type="dxa"/>
              <w:right w:w="120" w:type="dxa"/>
            </w:tcMar>
          </w:tcPr>
          <w:p w:rsidR="004641EF" w:rsidRDefault="0050440D">
            <w:pPr>
              <w:pStyle w:val="normal0"/>
            </w:pPr>
            <w:r>
              <w:rPr>
                <w:sz w:val="20"/>
              </w:rPr>
              <w:t>• Borrower: the station owner/operator. The loan finances the station's Octane Obit hardware and installation package.</w:t>
            </w:r>
          </w:p>
          <w:p w:rsidR="004641EF" w:rsidRDefault="0050440D">
            <w:pPr>
              <w:pStyle w:val="normal0"/>
              <w:spacing w:before="80"/>
            </w:pPr>
            <w:r>
              <w:rPr>
                <w:sz w:val="20"/>
              </w:rPr>
              <w:t>• Terms: repaid in monthly instalments over 6–12 months, extended to up to 18 months for some stations. Recovered shrinkage (~KES 64,500 per station per month) is expected to cover the instalment.</w:t>
            </w:r>
          </w:p>
          <w:p w:rsidR="004641EF" w:rsidRDefault="0050440D">
            <w:pPr>
              <w:pStyle w:val="normal0"/>
              <w:spacing w:before="80"/>
            </w:pPr>
            <w:r>
              <w:rPr>
                <w:sz w:val="20"/>
              </w:rPr>
              <w:t>• Collection: instalments are collected alongside the monthly subscription. Octane Obit can restrict platform features remotely if a station falls into arrears.</w:t>
            </w:r>
          </w:p>
          <w:p w:rsidR="004641EF" w:rsidRDefault="0050440D">
            <w:pPr>
              <w:pStyle w:val="normal0"/>
              <w:spacing w:before="80"/>
            </w:pPr>
            <w:r>
              <w:rPr>
                <w:sz w:val="20"/>
              </w:rPr>
              <w:t>• Funding: Tranche 2 capital from the investor, a lender or a DFI. Capital recycles into new stations as loans are repaid.</w:t>
            </w:r>
          </w:p>
          <w:p w:rsidR="004641EF" w:rsidRDefault="0050440D">
            <w:pPr>
              <w:pStyle w:val="normal0"/>
              <w:spacing w:before="80"/>
            </w:pPr>
            <w:r>
              <w:rPr>
                <w:sz w:val="20"/>
              </w:rPr>
              <w:t>• Licensing: see Q32.</w:t>
            </w:r>
          </w:p>
        </w:tc>
      </w:tr>
    </w:tbl>
    <w:p w:rsidR="004641EF" w:rsidRDefault="0050440D">
      <w:pPr>
        <w:pStyle w:val="normal0"/>
        <w:keepNext/>
        <w:spacing w:before="200" w:after="60"/>
      </w:pPr>
      <w:r>
        <w:rPr>
          <w:b/>
          <w:bCs/>
          <w:color w:val="1F2A44"/>
        </w:rPr>
        <w:lastRenderedPageBreak/>
        <w:t xml:space="preserve">26. </w:t>
      </w:r>
      <w:r>
        <w:rPr>
          <w:b/>
          <w:bCs/>
        </w:rPr>
        <w:t>Please provide a breakdown of Tranche 1 by category (hardware, installation, staff, working capital, other), with approximate amounts.</w:t>
      </w:r>
    </w:p>
    <w:tbl>
      <w:tblPr>
        <w:tblStyle w:val="af2"/>
        <w:tblW w:w="96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638"/>
      </w:tblGrid>
      <w:tr w:rsidR="004641EF">
        <w:trPr>
          <w:cantSplit/>
          <w:trHeight w:val="1440"/>
          <w:tblHeader/>
        </w:trPr>
        <w:tc>
          <w:tcPr>
            <w:tcW w:w="9638" w:type="dxa"/>
            <w:tcBorders>
              <w:top w:val="single" w:sz="4" w:space="0" w:color="BFC5CF"/>
              <w:left w:val="single" w:sz="4" w:space="0" w:color="BFC5CF"/>
              <w:bottom w:val="single" w:sz="4" w:space="0" w:color="BFC5CF"/>
              <w:right w:val="single" w:sz="4" w:space="0" w:color="BFC5CF"/>
            </w:tcBorders>
            <w:shd w:val="clear" w:color="auto" w:fill="FAFBFC"/>
            <w:tcMar>
              <w:top w:w="80" w:type="dxa"/>
              <w:left w:w="120" w:type="dxa"/>
              <w:bottom w:w="80" w:type="dxa"/>
              <w:right w:w="120" w:type="dxa"/>
            </w:tcMar>
          </w:tcPr>
          <w:p w:rsidR="004641EF" w:rsidRDefault="0050440D">
            <w:pPr>
              <w:pStyle w:val="normal0"/>
            </w:pPr>
            <w:r>
              <w:rPr>
                <w:sz w:val="20"/>
              </w:rPr>
              <w:t>Per-station rollout cost (KES), and totals for the 30-station first wave and the 100-station Year One target:</w:t>
            </w:r>
          </w:p>
          <w:p w:rsidR="004641EF" w:rsidRDefault="0050440D">
            <w:pPr>
              <w:pStyle w:val="normal0"/>
              <w:spacing w:before="80"/>
            </w:pPr>
            <w:r>
              <w:rPr>
                <w:sz w:val="20"/>
              </w:rPr>
              <w:t>• Hardware: KES 180K–350K per station  →  30 stations: 5.4M–10.5M  |  100 stations: 18M–35M</w:t>
            </w:r>
          </w:p>
          <w:p w:rsidR="004641EF" w:rsidRDefault="0050440D">
            <w:pPr>
              <w:pStyle w:val="normal0"/>
              <w:spacing w:before="80"/>
            </w:pPr>
            <w:r>
              <w:rPr>
                <w:sz w:val="20"/>
              </w:rPr>
              <w:t>• Installation: KES 50K–100K  →  1.5M–3M  |  5M–10M</w:t>
            </w:r>
          </w:p>
          <w:p w:rsidR="004641EF" w:rsidRDefault="0050440D">
            <w:pPr>
              <w:pStyle w:val="normal0"/>
              <w:spacing w:before="80"/>
            </w:pPr>
            <w:r>
              <w:rPr>
                <w:sz w:val="20"/>
              </w:rPr>
              <w:t>• Staff &amp; training: KES 20K–50K  →  0.6M–1.5M  |  2M–5M</w:t>
            </w:r>
          </w:p>
          <w:p w:rsidR="004641EF" w:rsidRDefault="0050440D">
            <w:pPr>
              <w:pStyle w:val="normal0"/>
              <w:spacing w:before="80"/>
            </w:pPr>
            <w:r>
              <w:rPr>
                <w:sz w:val="20"/>
              </w:rPr>
              <w:t>• Working capital: KES 70K–100K  →  2.1M–3M  |  7M–10M</w:t>
            </w:r>
          </w:p>
          <w:p w:rsidR="004641EF" w:rsidRDefault="0050440D">
            <w:pPr>
              <w:pStyle w:val="normal0"/>
              <w:spacing w:before="80"/>
            </w:pPr>
            <w:r>
              <w:rPr>
                <w:sz w:val="20"/>
              </w:rPr>
              <w:t>• Other (logistics, spares, contingency): KES 50K–150K  →  1.5M–4.5M  |  5M–15M</w:t>
            </w:r>
          </w:p>
          <w:p w:rsidR="004641EF" w:rsidRDefault="0050440D">
            <w:pPr>
              <w:pStyle w:val="normal0"/>
              <w:spacing w:before="80"/>
            </w:pPr>
            <w:r>
              <w:rPr>
                <w:sz w:val="20"/>
              </w:rPr>
              <w:t>• Total: KES 370K–750K per station  →  30 stations: KES 11.1M–22.5M (≈ US$86K–174K)  |  100 stations: KES 37M–75M (≈ US$286K–580K)</w:t>
            </w:r>
          </w:p>
          <w:p w:rsidR="004641EF" w:rsidRDefault="0050440D">
            <w:pPr>
              <w:pStyle w:val="normal0"/>
              <w:spacing w:before="80"/>
            </w:pPr>
            <w:r>
              <w:rPr>
                <w:sz w:val="20"/>
              </w:rPr>
              <w:t>Tranche 1 (US$500K–1M) therefore covers the full 100-station Year One rollout, with the balance supporting central operations through the rollout period.</w:t>
            </w:r>
          </w:p>
        </w:tc>
      </w:tr>
    </w:tbl>
    <w:p w:rsidR="004641EF" w:rsidRDefault="0050440D">
      <w:pPr>
        <w:pStyle w:val="Heading2"/>
        <w:pBdr>
          <w:bottom w:val="single" w:sz="8" w:space="4" w:color="B08D57"/>
        </w:pBdr>
        <w:spacing w:before="320" w:after="120"/>
      </w:pPr>
      <w:r>
        <w:rPr>
          <w:b/>
          <w:bCs/>
          <w:color w:val="1F2A44"/>
        </w:rPr>
        <w:t>B2. Security &amp; guarantees</w:t>
      </w:r>
    </w:p>
    <w:p w:rsidR="004641EF" w:rsidRDefault="0050440D">
      <w:pPr>
        <w:pStyle w:val="normal0"/>
        <w:keepNext/>
        <w:spacing w:before="200" w:after="60"/>
      </w:pPr>
      <w:r>
        <w:rPr>
          <w:b/>
          <w:bCs/>
          <w:color w:val="1F2A44"/>
        </w:rPr>
        <w:t xml:space="preserve">27. </w:t>
      </w:r>
      <w:r>
        <w:rPr>
          <w:b/>
          <w:bCs/>
        </w:rPr>
        <w:t>Is there any guarantor, collateral or credit enhancement available to support the raise (e.g. corporate or director guarantee, partial credit guarantee, asset security)?</w:t>
      </w:r>
    </w:p>
    <w:tbl>
      <w:tblPr>
        <w:tblStyle w:val="af3"/>
        <w:tblW w:w="96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638"/>
      </w:tblGrid>
      <w:tr w:rsidR="004641EF">
        <w:trPr>
          <w:cantSplit/>
          <w:trHeight w:val="1080"/>
          <w:tblHeader/>
        </w:trPr>
        <w:tc>
          <w:tcPr>
            <w:tcW w:w="9638" w:type="dxa"/>
            <w:tcBorders>
              <w:top w:val="single" w:sz="4" w:space="0" w:color="BFC5CF"/>
              <w:left w:val="single" w:sz="4" w:space="0" w:color="BFC5CF"/>
              <w:bottom w:val="single" w:sz="4" w:space="0" w:color="BFC5CF"/>
              <w:right w:val="single" w:sz="4" w:space="0" w:color="BFC5CF"/>
            </w:tcBorders>
            <w:shd w:val="clear" w:color="auto" w:fill="FAFBFC"/>
            <w:tcMar>
              <w:top w:w="80" w:type="dxa"/>
              <w:left w:w="120" w:type="dxa"/>
              <w:bottom w:w="80" w:type="dxa"/>
              <w:right w:w="120" w:type="dxa"/>
            </w:tcMar>
          </w:tcPr>
          <w:p w:rsidR="004641EF" w:rsidRDefault="0050440D">
            <w:pPr>
              <w:pStyle w:val="normal0"/>
            </w:pPr>
            <w:r>
              <w:rPr>
                <w:sz w:val="20"/>
              </w:rPr>
              <w:t>Yes. A guarantee and/or collateral can be provided in support of the raise; the form (director guarantee, corporate guarantee or asset security) to be agreed with EIG. In addition, Summit Surds is committing KES 89.6M (~US$515K) of its own cash and in-kind capital, and financed hardware (ATG probes, flow meters, POS) is a recoverable asset.</w:t>
            </w:r>
          </w:p>
        </w:tc>
      </w:tr>
    </w:tbl>
    <w:p w:rsidR="004641EF" w:rsidRDefault="0050440D">
      <w:pPr>
        <w:pStyle w:val="normal0"/>
        <w:keepNext/>
        <w:spacing w:before="200" w:after="60"/>
      </w:pPr>
      <w:r>
        <w:rPr>
          <w:b/>
          <w:bCs/>
          <w:color w:val="1F2A44"/>
        </w:rPr>
        <w:t xml:space="preserve">28. </w:t>
      </w:r>
      <w:r>
        <w:rPr>
          <w:b/>
          <w:bCs/>
        </w:rPr>
        <w:t>If a station defaults on hardware financing, how is the loss handled? Can devices be recovered and redeployed?</w:t>
      </w:r>
    </w:p>
    <w:tbl>
      <w:tblPr>
        <w:tblStyle w:val="af4"/>
        <w:tblW w:w="96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638"/>
      </w:tblGrid>
      <w:tr w:rsidR="004641EF">
        <w:trPr>
          <w:cantSplit/>
          <w:trHeight w:val="1080"/>
          <w:tblHeader/>
        </w:trPr>
        <w:tc>
          <w:tcPr>
            <w:tcW w:w="9638" w:type="dxa"/>
            <w:tcBorders>
              <w:top w:val="single" w:sz="4" w:space="0" w:color="BFC5CF"/>
              <w:left w:val="single" w:sz="4" w:space="0" w:color="BFC5CF"/>
              <w:bottom w:val="single" w:sz="4" w:space="0" w:color="BFC5CF"/>
              <w:right w:val="single" w:sz="4" w:space="0" w:color="BFC5CF"/>
            </w:tcBorders>
            <w:shd w:val="clear" w:color="auto" w:fill="FAFBFC"/>
            <w:tcMar>
              <w:top w:w="80" w:type="dxa"/>
              <w:left w:w="120" w:type="dxa"/>
              <w:bottom w:w="80" w:type="dxa"/>
              <w:right w:w="120" w:type="dxa"/>
            </w:tcMar>
          </w:tcPr>
          <w:p w:rsidR="004641EF" w:rsidRDefault="0050440D">
            <w:pPr>
              <w:pStyle w:val="normal0"/>
            </w:pPr>
            <w:r>
              <w:rPr>
                <w:sz w:val="20"/>
              </w:rPr>
              <w:t>Devices (ATG probes, flow meters, POS terminals) can be removed and redeployed to another station; the loss is mainly the installation cost (KES 50K–100K per station). The platform can also restrict access remotely, which gives strong leverage for collection before repossession is needed. Short repayment periods (6–12 months for most stations) limit exposure.</w:t>
            </w:r>
          </w:p>
        </w:tc>
      </w:tr>
    </w:tbl>
    <w:p w:rsidR="004641EF" w:rsidRDefault="0050440D">
      <w:pPr>
        <w:pStyle w:val="Heading2"/>
        <w:pBdr>
          <w:bottom w:val="single" w:sz="8" w:space="4" w:color="B08D57"/>
        </w:pBdr>
        <w:spacing w:before="320" w:after="120"/>
      </w:pPr>
      <w:r>
        <w:rPr>
          <w:b/>
          <w:bCs/>
          <w:color w:val="1F2A44"/>
        </w:rPr>
        <w:t>B3. Ownership &amp; corporate structure</w:t>
      </w:r>
    </w:p>
    <w:p w:rsidR="004641EF" w:rsidRDefault="0050440D">
      <w:pPr>
        <w:pStyle w:val="normal0"/>
        <w:keepNext/>
        <w:spacing w:before="200" w:after="60"/>
      </w:pPr>
      <w:r>
        <w:rPr>
          <w:b/>
          <w:bCs/>
          <w:color w:val="1F2A44"/>
        </w:rPr>
        <w:t xml:space="preserve">29. </w:t>
      </w:r>
      <w:r>
        <w:rPr>
          <w:b/>
          <w:bCs/>
        </w:rPr>
        <w:t>Please provide the current shareholding / cap table of Summit Surds Limited.</w:t>
      </w:r>
    </w:p>
    <w:tbl>
      <w:tblPr>
        <w:tblStyle w:val="af5"/>
        <w:tblW w:w="96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638"/>
      </w:tblGrid>
      <w:tr w:rsidR="004641EF">
        <w:trPr>
          <w:cantSplit/>
          <w:trHeight w:val="1080"/>
          <w:tblHeader/>
        </w:trPr>
        <w:tc>
          <w:tcPr>
            <w:tcW w:w="9638" w:type="dxa"/>
            <w:tcBorders>
              <w:top w:val="single" w:sz="4" w:space="0" w:color="BFC5CF"/>
              <w:left w:val="single" w:sz="4" w:space="0" w:color="BFC5CF"/>
              <w:bottom w:val="single" w:sz="4" w:space="0" w:color="BFC5CF"/>
              <w:right w:val="single" w:sz="4" w:space="0" w:color="BFC5CF"/>
            </w:tcBorders>
            <w:shd w:val="clear" w:color="auto" w:fill="FAFBFC"/>
            <w:tcMar>
              <w:top w:w="80" w:type="dxa"/>
              <w:left w:w="120" w:type="dxa"/>
              <w:bottom w:w="80" w:type="dxa"/>
              <w:right w:w="120" w:type="dxa"/>
            </w:tcMar>
          </w:tcPr>
          <w:p w:rsidR="004641EF" w:rsidRDefault="0050440D">
            <w:pPr>
              <w:pStyle w:val="normal0"/>
            </w:pPr>
            <w:r>
              <w:rPr>
                <w:sz w:val="20"/>
              </w:rPr>
              <w:t>Shareholders of Summit Surds Limited: Lilian Mwende and Joseph Ngethe. The full cap table with percentage holdings will be shared with the supporting documents.</w:t>
            </w:r>
          </w:p>
        </w:tc>
      </w:tr>
    </w:tbl>
    <w:p w:rsidR="004641EF" w:rsidRDefault="0050440D">
      <w:pPr>
        <w:pStyle w:val="normal0"/>
        <w:keepNext/>
        <w:spacing w:before="200" w:after="60"/>
      </w:pPr>
      <w:r>
        <w:rPr>
          <w:b/>
          <w:bCs/>
          <w:color w:val="1F2A44"/>
        </w:rPr>
        <w:t xml:space="preserve">30. </w:t>
      </w:r>
      <w:r>
        <w:rPr>
          <w:b/>
          <w:bCs/>
        </w:rPr>
        <w:t>What is the relationship between Josprix Solutions Limited and Summit Surds Limited? Who owns the Octane Obit software and IP today, and how was it transferred?</w:t>
      </w:r>
    </w:p>
    <w:tbl>
      <w:tblPr>
        <w:tblStyle w:val="af6"/>
        <w:tblW w:w="96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638"/>
      </w:tblGrid>
      <w:tr w:rsidR="004641EF">
        <w:trPr>
          <w:cantSplit/>
          <w:trHeight w:val="1080"/>
          <w:tblHeader/>
        </w:trPr>
        <w:tc>
          <w:tcPr>
            <w:tcW w:w="9638" w:type="dxa"/>
            <w:tcBorders>
              <w:top w:val="single" w:sz="4" w:space="0" w:color="BFC5CF"/>
              <w:left w:val="single" w:sz="4" w:space="0" w:color="BFC5CF"/>
              <w:bottom w:val="single" w:sz="4" w:space="0" w:color="BFC5CF"/>
              <w:right w:val="single" w:sz="4" w:space="0" w:color="BFC5CF"/>
            </w:tcBorders>
            <w:shd w:val="clear" w:color="auto" w:fill="FAFBFC"/>
            <w:tcMar>
              <w:top w:w="80" w:type="dxa"/>
              <w:left w:w="120" w:type="dxa"/>
              <w:bottom w:w="80" w:type="dxa"/>
              <w:right w:w="120" w:type="dxa"/>
            </w:tcMar>
          </w:tcPr>
          <w:p w:rsidR="004641EF" w:rsidRDefault="0050440D">
            <w:pPr>
              <w:pStyle w:val="normal0"/>
            </w:pPr>
            <w:r>
              <w:rPr>
                <w:sz w:val="20"/>
              </w:rPr>
              <w:t>Josprix Solutions Limited funded the platform's early development (from 2021). Summit Surds Limited owns Octane Obit and commercialises it. A written agreement confirming the IP position between Josprix Solutions and Summit Surds is being drafted and will be attached to this submission.</w:t>
            </w:r>
          </w:p>
        </w:tc>
      </w:tr>
    </w:tbl>
    <w:p w:rsidR="000E7D9F" w:rsidRDefault="000E7D9F">
      <w:pPr>
        <w:pStyle w:val="Heading2"/>
        <w:pBdr>
          <w:bottom w:val="single" w:sz="8" w:space="4" w:color="B08D57"/>
        </w:pBdr>
        <w:spacing w:before="320" w:after="120"/>
        <w:rPr>
          <w:b/>
          <w:bCs/>
          <w:color w:val="1F2A44"/>
        </w:rPr>
      </w:pPr>
    </w:p>
    <w:p w:rsidR="000E7D9F" w:rsidRDefault="000E7D9F">
      <w:pPr>
        <w:pStyle w:val="Heading2"/>
        <w:pBdr>
          <w:bottom w:val="single" w:sz="8" w:space="4" w:color="B08D57"/>
        </w:pBdr>
        <w:spacing w:before="320" w:after="120"/>
        <w:rPr>
          <w:b/>
          <w:bCs/>
          <w:color w:val="1F2A44"/>
        </w:rPr>
      </w:pPr>
    </w:p>
    <w:p w:rsidR="004641EF" w:rsidRDefault="0050440D">
      <w:pPr>
        <w:pStyle w:val="Heading2"/>
        <w:pBdr>
          <w:bottom w:val="single" w:sz="8" w:space="4" w:color="B08D57"/>
        </w:pBdr>
        <w:spacing w:before="320" w:after="120"/>
      </w:pPr>
      <w:r>
        <w:rPr>
          <w:b/>
          <w:bCs/>
          <w:color w:val="1F2A44"/>
        </w:rPr>
        <w:lastRenderedPageBreak/>
        <w:t>B4. Regulatory &amp; licensing</w:t>
      </w:r>
    </w:p>
    <w:p w:rsidR="004641EF" w:rsidRDefault="0050440D">
      <w:pPr>
        <w:pStyle w:val="normal0"/>
        <w:keepNext/>
        <w:spacing w:before="200" w:after="60"/>
      </w:pPr>
      <w:r>
        <w:rPr>
          <w:b/>
          <w:bCs/>
          <w:color w:val="1F2A44"/>
        </w:rPr>
        <w:t xml:space="preserve">31. </w:t>
      </w:r>
      <w:r>
        <w:rPr>
          <w:b/>
          <w:bCs/>
        </w:rPr>
        <w:t>Payment processing (0.3% per transaction): do you hold Central Bank of Kenya authorisation, or operate through a licensed partner? Please specify.</w:t>
      </w:r>
    </w:p>
    <w:p w:rsidR="004641EF" w:rsidRDefault="0050440D">
      <w:pPr>
        <w:pStyle w:val="normal0"/>
        <w:spacing w:after="80"/>
      </w:pPr>
      <w:r>
        <w:rPr>
          <w:sz w:val="20"/>
          <w:szCs w:val="20"/>
        </w:rPr>
        <w:t>☐ Own licence      ☐ Licensed partner      ☒ Not yet in place</w:t>
      </w:r>
    </w:p>
    <w:tbl>
      <w:tblPr>
        <w:tblStyle w:val="af7"/>
        <w:tblW w:w="96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638"/>
      </w:tblGrid>
      <w:tr w:rsidR="004641EF">
        <w:trPr>
          <w:cantSplit/>
          <w:trHeight w:val="720"/>
          <w:tblHeader/>
        </w:trPr>
        <w:tc>
          <w:tcPr>
            <w:tcW w:w="9638" w:type="dxa"/>
            <w:tcBorders>
              <w:top w:val="single" w:sz="4" w:space="0" w:color="BFC5CF"/>
              <w:left w:val="single" w:sz="4" w:space="0" w:color="BFC5CF"/>
              <w:bottom w:val="single" w:sz="4" w:space="0" w:color="BFC5CF"/>
              <w:right w:val="single" w:sz="4" w:space="0" w:color="BFC5CF"/>
            </w:tcBorders>
            <w:shd w:val="clear" w:color="auto" w:fill="FAFBFC"/>
            <w:tcMar>
              <w:top w:w="80" w:type="dxa"/>
              <w:left w:w="120" w:type="dxa"/>
              <w:bottom w:w="80" w:type="dxa"/>
              <w:right w:w="120" w:type="dxa"/>
            </w:tcMar>
          </w:tcPr>
          <w:p w:rsidR="004641EF" w:rsidRDefault="0050440D">
            <w:pPr>
              <w:pStyle w:val="normal0"/>
            </w:pPr>
            <w:r>
              <w:rPr>
                <w:sz w:val="20"/>
              </w:rPr>
              <w:t>Not yet in place. The 0.3% transaction fee will be activated only once CBK authorisation or a licensed-partner arrangement is in place.</w:t>
            </w:r>
          </w:p>
        </w:tc>
      </w:tr>
    </w:tbl>
    <w:p w:rsidR="004641EF" w:rsidRDefault="0050440D">
      <w:pPr>
        <w:pStyle w:val="normal0"/>
        <w:keepNext/>
        <w:spacing w:before="200" w:after="60"/>
      </w:pPr>
      <w:r>
        <w:rPr>
          <w:b/>
          <w:bCs/>
          <w:color w:val="1F2A44"/>
        </w:rPr>
        <w:t xml:space="preserve">32. </w:t>
      </w:r>
      <w:r>
        <w:rPr>
          <w:b/>
          <w:bCs/>
        </w:rPr>
        <w:t>Lending Module: do you hold (or plan to apply for) a CBK Digital Credit Provider licence, or will lending run through a licensed partner?</w:t>
      </w:r>
    </w:p>
    <w:p w:rsidR="004641EF" w:rsidRDefault="0050440D">
      <w:pPr>
        <w:pStyle w:val="normal0"/>
        <w:spacing w:after="80"/>
      </w:pPr>
      <w:r>
        <w:rPr>
          <w:sz w:val="20"/>
          <w:szCs w:val="20"/>
        </w:rPr>
        <w:t>☐ Own licence      ☐ Licensed partner      ☒ Not yet in place</w:t>
      </w:r>
    </w:p>
    <w:tbl>
      <w:tblPr>
        <w:tblStyle w:val="af8"/>
        <w:tblW w:w="96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638"/>
      </w:tblGrid>
      <w:tr w:rsidR="004641EF">
        <w:trPr>
          <w:cantSplit/>
          <w:trHeight w:val="720"/>
          <w:tblHeader/>
        </w:trPr>
        <w:tc>
          <w:tcPr>
            <w:tcW w:w="9638" w:type="dxa"/>
            <w:tcBorders>
              <w:top w:val="single" w:sz="4" w:space="0" w:color="BFC5CF"/>
              <w:left w:val="single" w:sz="4" w:space="0" w:color="BFC5CF"/>
              <w:bottom w:val="single" w:sz="4" w:space="0" w:color="BFC5CF"/>
              <w:right w:val="single" w:sz="4" w:space="0" w:color="BFC5CF"/>
            </w:tcBorders>
            <w:shd w:val="clear" w:color="auto" w:fill="FAFBFC"/>
            <w:tcMar>
              <w:top w:w="80" w:type="dxa"/>
              <w:left w:w="120" w:type="dxa"/>
              <w:bottom w:w="80" w:type="dxa"/>
              <w:right w:w="120" w:type="dxa"/>
            </w:tcMar>
          </w:tcPr>
          <w:p w:rsidR="004641EF" w:rsidRDefault="0050440D">
            <w:pPr>
              <w:pStyle w:val="normal0"/>
            </w:pPr>
            <w:r>
              <w:rPr>
                <w:sz w:val="20"/>
              </w:rPr>
              <w:t>Not yet in place. The Lending Module will run under a CBK Digital Credit Provider licence or through a licensed lending partner before any lending starts.</w:t>
            </w:r>
          </w:p>
        </w:tc>
      </w:tr>
    </w:tbl>
    <w:p w:rsidR="004641EF" w:rsidRDefault="0050440D">
      <w:pPr>
        <w:pStyle w:val="normal0"/>
        <w:keepNext/>
        <w:spacing w:before="200" w:after="60"/>
      </w:pPr>
      <w:r>
        <w:rPr>
          <w:b/>
          <w:bCs/>
          <w:color w:val="1F2A44"/>
        </w:rPr>
        <w:t xml:space="preserve">33. </w:t>
      </w:r>
      <w:r>
        <w:rPr>
          <w:b/>
          <w:bCs/>
        </w:rPr>
        <w:t>Insurance commissions: are you registered with the Insurance Regulatory Authority, or referring through a licensed intermediary?</w:t>
      </w:r>
    </w:p>
    <w:p w:rsidR="004641EF" w:rsidRDefault="0050440D">
      <w:pPr>
        <w:pStyle w:val="normal0"/>
        <w:spacing w:after="80"/>
      </w:pPr>
      <w:r>
        <w:rPr>
          <w:sz w:val="20"/>
          <w:szCs w:val="20"/>
        </w:rPr>
        <w:t>☐ Own registration      ☐ Licensed partner      ☒ Not yet in place</w:t>
      </w:r>
    </w:p>
    <w:tbl>
      <w:tblPr>
        <w:tblStyle w:val="af9"/>
        <w:tblW w:w="96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638"/>
      </w:tblGrid>
      <w:tr w:rsidR="004641EF">
        <w:trPr>
          <w:cantSplit/>
          <w:trHeight w:val="720"/>
          <w:tblHeader/>
        </w:trPr>
        <w:tc>
          <w:tcPr>
            <w:tcW w:w="9638" w:type="dxa"/>
            <w:tcBorders>
              <w:top w:val="single" w:sz="4" w:space="0" w:color="BFC5CF"/>
              <w:left w:val="single" w:sz="4" w:space="0" w:color="BFC5CF"/>
              <w:bottom w:val="single" w:sz="4" w:space="0" w:color="BFC5CF"/>
              <w:right w:val="single" w:sz="4" w:space="0" w:color="BFC5CF"/>
            </w:tcBorders>
            <w:shd w:val="clear" w:color="auto" w:fill="FAFBFC"/>
            <w:tcMar>
              <w:top w:w="80" w:type="dxa"/>
              <w:left w:w="120" w:type="dxa"/>
              <w:bottom w:w="80" w:type="dxa"/>
              <w:right w:w="120" w:type="dxa"/>
            </w:tcMar>
          </w:tcPr>
          <w:p w:rsidR="004641EF" w:rsidRDefault="0050440D">
            <w:pPr>
              <w:pStyle w:val="normal0"/>
            </w:pPr>
            <w:r>
              <w:rPr>
                <w:sz w:val="20"/>
              </w:rPr>
              <w:t>Not yet in place. Insurance referrals will go through an IRA-licensed intermediary or our own registration before commissions are earned.</w:t>
            </w:r>
          </w:p>
        </w:tc>
      </w:tr>
    </w:tbl>
    <w:p w:rsidR="004641EF" w:rsidRDefault="0050440D">
      <w:pPr>
        <w:pStyle w:val="normal0"/>
        <w:keepNext/>
        <w:spacing w:before="200" w:after="60"/>
      </w:pPr>
      <w:r>
        <w:rPr>
          <w:b/>
          <w:bCs/>
          <w:color w:val="1F2A44"/>
        </w:rPr>
        <w:t xml:space="preserve">34. </w:t>
      </w:r>
      <w:r>
        <w:rPr>
          <w:b/>
          <w:bCs/>
        </w:rPr>
        <w:t>KRA eTIMS: what is the status of your eTIMS integration (e.g. approved integrator, in certification, via a third party)?</w:t>
      </w:r>
    </w:p>
    <w:tbl>
      <w:tblPr>
        <w:tblStyle w:val="afa"/>
        <w:tblW w:w="96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638"/>
      </w:tblGrid>
      <w:tr w:rsidR="004641EF">
        <w:trPr>
          <w:cantSplit/>
          <w:trHeight w:val="720"/>
          <w:tblHeader/>
        </w:trPr>
        <w:tc>
          <w:tcPr>
            <w:tcW w:w="9638" w:type="dxa"/>
            <w:tcBorders>
              <w:top w:val="single" w:sz="4" w:space="0" w:color="BFC5CF"/>
              <w:left w:val="single" w:sz="4" w:space="0" w:color="BFC5CF"/>
              <w:bottom w:val="single" w:sz="4" w:space="0" w:color="BFC5CF"/>
              <w:right w:val="single" w:sz="4" w:space="0" w:color="BFC5CF"/>
            </w:tcBorders>
            <w:shd w:val="clear" w:color="auto" w:fill="FAFBFC"/>
            <w:tcMar>
              <w:top w:w="80" w:type="dxa"/>
              <w:left w:w="120" w:type="dxa"/>
              <w:bottom w:w="80" w:type="dxa"/>
              <w:right w:w="120" w:type="dxa"/>
            </w:tcMar>
          </w:tcPr>
          <w:p w:rsidR="004641EF" w:rsidRDefault="0050440D">
            <w:pPr>
              <w:pStyle w:val="normal0"/>
            </w:pPr>
            <w:r>
              <w:rPr>
                <w:sz w:val="20"/>
              </w:rPr>
              <w:t>Live in production via a third-party integrator: eTIMS integration is provided by Digitax. Every transaction at the pilot stations is fiscalized automatically.</w:t>
            </w:r>
          </w:p>
        </w:tc>
      </w:tr>
    </w:tbl>
    <w:p w:rsidR="004641EF" w:rsidRDefault="0050440D">
      <w:pPr>
        <w:pStyle w:val="Heading2"/>
        <w:pBdr>
          <w:bottom w:val="single" w:sz="8" w:space="4" w:color="B08D57"/>
        </w:pBdr>
        <w:spacing w:before="320" w:after="120"/>
      </w:pPr>
      <w:r>
        <w:rPr>
          <w:b/>
          <w:bCs/>
          <w:color w:val="1F2A44"/>
        </w:rPr>
        <w:t>B5. Additional documents</w:t>
      </w:r>
    </w:p>
    <w:p w:rsidR="004641EF" w:rsidRDefault="0050440D">
      <w:pPr>
        <w:pStyle w:val="normal0"/>
        <w:keepNext/>
        <w:spacing w:before="200" w:after="60"/>
      </w:pPr>
      <w:r>
        <w:rPr>
          <w:b/>
          <w:bCs/>
          <w:color w:val="1F2A44"/>
        </w:rPr>
        <w:t xml:space="preserve">35. </w:t>
      </w:r>
      <w:r>
        <w:rPr>
          <w:b/>
          <w:bCs/>
        </w:rPr>
        <w:t>Please indicate which of the following you can share:</w:t>
      </w:r>
    </w:p>
    <w:p w:rsidR="004641EF" w:rsidRDefault="0050440D">
      <w:pPr>
        <w:pStyle w:val="normal0"/>
        <w:spacing w:after="60"/>
      </w:pPr>
      <w:r>
        <w:rPr>
          <w:sz w:val="22"/>
          <w:szCs w:val="22"/>
        </w:rPr>
        <w:t xml:space="preserve">☒  </w:t>
      </w:r>
      <w:r>
        <w:rPr>
          <w:sz w:val="20"/>
          <w:szCs w:val="20"/>
        </w:rPr>
        <w:t>Certificate of incorporation</w:t>
      </w:r>
    </w:p>
    <w:p w:rsidR="004641EF" w:rsidRDefault="0050440D">
      <w:pPr>
        <w:pStyle w:val="normal0"/>
        <w:spacing w:after="60"/>
      </w:pPr>
      <w:r>
        <w:rPr>
          <w:sz w:val="22"/>
          <w:szCs w:val="22"/>
        </w:rPr>
        <w:t xml:space="preserve">☒  </w:t>
      </w:r>
      <w:r>
        <w:rPr>
          <w:sz w:val="20"/>
          <w:szCs w:val="20"/>
        </w:rPr>
        <w:t>Cap table / shareholding structure</w:t>
      </w:r>
    </w:p>
    <w:p w:rsidR="004641EF" w:rsidRDefault="0050440D">
      <w:pPr>
        <w:pStyle w:val="normal0"/>
        <w:spacing w:after="60"/>
      </w:pPr>
      <w:r>
        <w:rPr>
          <w:sz w:val="22"/>
          <w:szCs w:val="22"/>
        </w:rPr>
        <w:t xml:space="preserve">☐  </w:t>
      </w:r>
      <w:r>
        <w:rPr>
          <w:sz w:val="20"/>
          <w:szCs w:val="20"/>
        </w:rPr>
        <w:t>Historical financial statements or management accounts (if any)</w:t>
      </w:r>
    </w:p>
    <w:p w:rsidR="004641EF" w:rsidRDefault="0050440D">
      <w:pPr>
        <w:pStyle w:val="normal0"/>
        <w:spacing w:after="60"/>
      </w:pPr>
      <w:r>
        <w:rPr>
          <w:sz w:val="22"/>
          <w:szCs w:val="22"/>
        </w:rPr>
        <w:t xml:space="preserve">☒  </w:t>
      </w:r>
      <w:r>
        <w:rPr>
          <w:sz w:val="20"/>
          <w:szCs w:val="20"/>
        </w:rPr>
        <w:t>Detailed use-of-funds breakdown per tranche</w:t>
      </w:r>
    </w:p>
    <w:p w:rsidR="004641EF" w:rsidRDefault="0050440D">
      <w:pPr>
        <w:pStyle w:val="normal0"/>
        <w:spacing w:after="60"/>
      </w:pPr>
      <w:r>
        <w:rPr>
          <w:sz w:val="22"/>
          <w:szCs w:val="22"/>
        </w:rPr>
        <w:t xml:space="preserve">☒  </w:t>
      </w:r>
      <w:r>
        <w:rPr>
          <w:sz w:val="20"/>
          <w:szCs w:val="20"/>
        </w:rPr>
        <w:t>Pilot station data or case study</w:t>
      </w:r>
    </w:p>
    <w:p w:rsidR="004641EF" w:rsidRDefault="0050440D">
      <w:pPr>
        <w:pStyle w:val="normal0"/>
        <w:spacing w:after="60"/>
      </w:pPr>
      <w:r>
        <w:rPr>
          <w:sz w:val="22"/>
          <w:szCs w:val="22"/>
        </w:rPr>
        <w:t xml:space="preserve">☒  </w:t>
      </w:r>
      <w:r>
        <w:rPr>
          <w:sz w:val="20"/>
          <w:szCs w:val="20"/>
        </w:rPr>
        <w:t>Signed LOIs / MOUs from waitlisted stations</w:t>
      </w:r>
    </w:p>
    <w:p w:rsidR="004641EF" w:rsidRDefault="0050440D">
      <w:pPr>
        <w:pStyle w:val="normal0"/>
        <w:spacing w:after="60"/>
      </w:pPr>
      <w:r>
        <w:rPr>
          <w:sz w:val="22"/>
          <w:szCs w:val="22"/>
        </w:rPr>
        <w:t xml:space="preserve">☒  </w:t>
      </w:r>
      <w:r>
        <w:rPr>
          <w:sz w:val="20"/>
          <w:szCs w:val="20"/>
        </w:rPr>
        <w:t>IP assignment or agreement between Josprix Solutions and Summit Surds</w:t>
      </w:r>
      <w:r>
        <w:rPr>
          <w:sz w:val="20"/>
        </w:rPr>
        <w:t xml:space="preserve">  (being drafted)</w:t>
      </w:r>
    </w:p>
    <w:p w:rsidR="004641EF" w:rsidRDefault="0050440D">
      <w:pPr>
        <w:pStyle w:val="normal0"/>
        <w:spacing w:after="60"/>
      </w:pPr>
      <w:r>
        <w:rPr>
          <w:sz w:val="22"/>
          <w:szCs w:val="22"/>
        </w:rPr>
        <w:t xml:space="preserve">☐  </w:t>
      </w:r>
      <w:r>
        <w:rPr>
          <w:sz w:val="20"/>
          <w:szCs w:val="20"/>
        </w:rPr>
        <w:t>Copies of relevant licences, or partner agreements (payments, lending, insurance)</w:t>
      </w:r>
    </w:p>
    <w:p w:rsidR="004641EF" w:rsidRDefault="0050440D">
      <w:pPr>
        <w:pStyle w:val="normal0"/>
        <w:spacing w:after="60"/>
      </w:pPr>
      <w:r>
        <w:rPr>
          <w:sz w:val="22"/>
          <w:szCs w:val="22"/>
        </w:rPr>
        <w:t xml:space="preserve">☒  </w:t>
      </w:r>
      <w:r>
        <w:rPr>
          <w:sz w:val="20"/>
          <w:szCs w:val="20"/>
        </w:rPr>
        <w:t>Netherlands Embassy grant application or correspondence</w:t>
      </w:r>
    </w:p>
    <w:p w:rsidR="004641EF" w:rsidRDefault="0050440D">
      <w:pPr>
        <w:pStyle w:val="normal0"/>
        <w:spacing w:after="60"/>
        <w:rPr>
          <w:sz w:val="20"/>
          <w:szCs w:val="20"/>
        </w:rPr>
      </w:pPr>
      <w:r>
        <w:rPr>
          <w:sz w:val="22"/>
          <w:szCs w:val="22"/>
        </w:rPr>
        <w:t xml:space="preserve">☐  </w:t>
      </w:r>
      <w:r>
        <w:rPr>
          <w:sz w:val="20"/>
          <w:szCs w:val="20"/>
        </w:rPr>
        <w:t>Team CVs / bios</w:t>
      </w:r>
    </w:p>
    <w:p w:rsidR="000E7D9F" w:rsidRDefault="000E7D9F">
      <w:pPr>
        <w:pStyle w:val="normal0"/>
        <w:spacing w:after="60"/>
        <w:rPr>
          <w:sz w:val="20"/>
          <w:szCs w:val="20"/>
        </w:rPr>
      </w:pPr>
    </w:p>
    <w:p w:rsidR="000E7D9F" w:rsidRDefault="000E7D9F">
      <w:pPr>
        <w:pStyle w:val="normal0"/>
        <w:spacing w:after="60"/>
        <w:rPr>
          <w:sz w:val="20"/>
          <w:szCs w:val="20"/>
        </w:rPr>
      </w:pPr>
    </w:p>
    <w:p w:rsidR="000E7D9F" w:rsidRDefault="000E7D9F">
      <w:pPr>
        <w:pStyle w:val="normal0"/>
        <w:spacing w:after="60"/>
        <w:rPr>
          <w:sz w:val="20"/>
          <w:szCs w:val="20"/>
        </w:rPr>
      </w:pPr>
    </w:p>
    <w:p w:rsidR="000E7D9F" w:rsidRDefault="000E7D9F">
      <w:pPr>
        <w:pStyle w:val="normal0"/>
        <w:spacing w:after="60"/>
        <w:rPr>
          <w:sz w:val="20"/>
          <w:szCs w:val="20"/>
        </w:rPr>
      </w:pPr>
    </w:p>
    <w:p w:rsidR="000E7D9F" w:rsidRDefault="000E7D9F">
      <w:pPr>
        <w:pStyle w:val="normal0"/>
        <w:spacing w:after="60"/>
      </w:pPr>
    </w:p>
    <w:p w:rsidR="004641EF" w:rsidRDefault="0050440D">
      <w:pPr>
        <w:pStyle w:val="Heading2"/>
        <w:pBdr>
          <w:bottom w:val="single" w:sz="8" w:space="4" w:color="B08D57"/>
        </w:pBdr>
        <w:spacing w:before="320" w:after="120"/>
      </w:pPr>
      <w:r>
        <w:rPr>
          <w:b/>
          <w:bCs/>
          <w:color w:val="1F2A44"/>
        </w:rPr>
        <w:lastRenderedPageBreak/>
        <w:t>Completed by</w:t>
      </w:r>
    </w:p>
    <w:p w:rsidR="004641EF" w:rsidRDefault="0050440D">
      <w:pPr>
        <w:pStyle w:val="normal0"/>
        <w:keepNext/>
        <w:spacing w:before="200" w:after="60"/>
      </w:pPr>
      <w:r>
        <w:rPr>
          <w:b/>
          <w:bCs/>
          <w:color w:val="1F2A44"/>
        </w:rPr>
        <w:t xml:space="preserve">36. </w:t>
      </w:r>
      <w:r>
        <w:rPr>
          <w:b/>
          <w:bCs/>
        </w:rPr>
        <w:t>Name and role:</w:t>
      </w:r>
    </w:p>
    <w:tbl>
      <w:tblPr>
        <w:tblStyle w:val="afb"/>
        <w:tblW w:w="96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638"/>
      </w:tblGrid>
      <w:tr w:rsidR="004641EF">
        <w:trPr>
          <w:cantSplit/>
          <w:trHeight w:val="360"/>
          <w:tblHeader/>
        </w:trPr>
        <w:tc>
          <w:tcPr>
            <w:tcW w:w="9638" w:type="dxa"/>
            <w:tcBorders>
              <w:top w:val="single" w:sz="4" w:space="0" w:color="BFC5CF"/>
              <w:left w:val="single" w:sz="4" w:space="0" w:color="BFC5CF"/>
              <w:bottom w:val="single" w:sz="4" w:space="0" w:color="BFC5CF"/>
              <w:right w:val="single" w:sz="4" w:space="0" w:color="BFC5CF"/>
            </w:tcBorders>
            <w:shd w:val="clear" w:color="auto" w:fill="FAFBFC"/>
            <w:tcMar>
              <w:top w:w="80" w:type="dxa"/>
              <w:left w:w="120" w:type="dxa"/>
              <w:bottom w:w="80" w:type="dxa"/>
              <w:right w:w="120" w:type="dxa"/>
            </w:tcMar>
          </w:tcPr>
          <w:p w:rsidR="004641EF" w:rsidRDefault="0050440D">
            <w:pPr>
              <w:pStyle w:val="normal0"/>
            </w:pPr>
            <w:r>
              <w:rPr>
                <w:i/>
                <w:sz w:val="20"/>
                <w:highlight w:val="yellow"/>
              </w:rPr>
              <w:t>[TO CONFIRM: name and role]</w:t>
            </w:r>
          </w:p>
        </w:tc>
      </w:tr>
    </w:tbl>
    <w:p w:rsidR="004641EF" w:rsidRDefault="0050440D">
      <w:pPr>
        <w:pStyle w:val="normal0"/>
        <w:keepNext/>
        <w:spacing w:before="200" w:after="60"/>
      </w:pPr>
      <w:r>
        <w:rPr>
          <w:b/>
          <w:bCs/>
          <w:color w:val="1F2A44"/>
        </w:rPr>
        <w:t xml:space="preserve">37. </w:t>
      </w:r>
      <w:r>
        <w:rPr>
          <w:b/>
          <w:bCs/>
        </w:rPr>
        <w:t>Email and phone:</w:t>
      </w:r>
    </w:p>
    <w:tbl>
      <w:tblPr>
        <w:tblStyle w:val="afc"/>
        <w:tblW w:w="96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638"/>
      </w:tblGrid>
      <w:tr w:rsidR="004641EF">
        <w:trPr>
          <w:cantSplit/>
          <w:trHeight w:val="360"/>
          <w:tblHeader/>
        </w:trPr>
        <w:tc>
          <w:tcPr>
            <w:tcW w:w="9638" w:type="dxa"/>
            <w:tcBorders>
              <w:top w:val="single" w:sz="4" w:space="0" w:color="BFC5CF"/>
              <w:left w:val="single" w:sz="4" w:space="0" w:color="BFC5CF"/>
              <w:bottom w:val="single" w:sz="4" w:space="0" w:color="BFC5CF"/>
              <w:right w:val="single" w:sz="4" w:space="0" w:color="BFC5CF"/>
            </w:tcBorders>
            <w:shd w:val="clear" w:color="auto" w:fill="FAFBFC"/>
            <w:tcMar>
              <w:top w:w="80" w:type="dxa"/>
              <w:left w:w="120" w:type="dxa"/>
              <w:bottom w:w="80" w:type="dxa"/>
              <w:right w:w="120" w:type="dxa"/>
            </w:tcMar>
          </w:tcPr>
          <w:p w:rsidR="004641EF" w:rsidRDefault="0050440D">
            <w:pPr>
              <w:pStyle w:val="normal0"/>
            </w:pPr>
            <w:r>
              <w:rPr>
                <w:i/>
                <w:sz w:val="20"/>
                <w:highlight w:val="yellow"/>
              </w:rPr>
              <w:t>[TO CONFIRM: email and phone]</w:t>
            </w:r>
          </w:p>
        </w:tc>
      </w:tr>
    </w:tbl>
    <w:p w:rsidR="004641EF" w:rsidRDefault="0050440D">
      <w:pPr>
        <w:pStyle w:val="normal0"/>
        <w:keepNext/>
        <w:spacing w:before="200" w:after="60"/>
      </w:pPr>
      <w:r>
        <w:rPr>
          <w:b/>
          <w:bCs/>
          <w:color w:val="1F2A44"/>
        </w:rPr>
        <w:t xml:space="preserve">38. </w:t>
      </w:r>
      <w:r>
        <w:rPr>
          <w:b/>
          <w:bCs/>
        </w:rPr>
        <w:t>Date:</w:t>
      </w:r>
    </w:p>
    <w:tbl>
      <w:tblPr>
        <w:tblStyle w:val="afd"/>
        <w:tblW w:w="96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638"/>
      </w:tblGrid>
      <w:tr w:rsidR="004641EF">
        <w:trPr>
          <w:cantSplit/>
          <w:trHeight w:val="360"/>
          <w:tblHeader/>
        </w:trPr>
        <w:tc>
          <w:tcPr>
            <w:tcW w:w="9638" w:type="dxa"/>
            <w:tcBorders>
              <w:top w:val="single" w:sz="4" w:space="0" w:color="BFC5CF"/>
              <w:left w:val="single" w:sz="4" w:space="0" w:color="BFC5CF"/>
              <w:bottom w:val="single" w:sz="4" w:space="0" w:color="BFC5CF"/>
              <w:right w:val="single" w:sz="4" w:space="0" w:color="BFC5CF"/>
            </w:tcBorders>
            <w:shd w:val="clear" w:color="auto" w:fill="FAFBFC"/>
            <w:tcMar>
              <w:top w:w="80" w:type="dxa"/>
              <w:left w:w="120" w:type="dxa"/>
              <w:bottom w:w="80" w:type="dxa"/>
              <w:right w:w="120" w:type="dxa"/>
            </w:tcMar>
          </w:tcPr>
          <w:p w:rsidR="004641EF" w:rsidRDefault="0050440D">
            <w:pPr>
              <w:pStyle w:val="normal0"/>
            </w:pPr>
            <w:r>
              <w:rPr>
                <w:sz w:val="20"/>
              </w:rPr>
              <w:t>25 September 2026</w:t>
            </w:r>
          </w:p>
        </w:tc>
      </w:tr>
    </w:tbl>
    <w:p w:rsidR="004641EF" w:rsidRDefault="0050440D">
      <w:pPr>
        <w:pStyle w:val="normal0"/>
        <w:spacing w:before="240"/>
      </w:pPr>
      <w:r>
        <w:rPr>
          <w:i/>
          <w:iCs/>
          <w:color w:val="666666"/>
          <w:sz w:val="18"/>
          <w:szCs w:val="18"/>
        </w:rPr>
        <w:t>Please return the completed form and supporting documents to info@eig.global. All information will be treated as confidential.</w:t>
      </w:r>
    </w:p>
    <w:sectPr w:rsidR="004641EF" w:rsidSect="004641EF">
      <w:headerReference w:type="default" r:id="rId7"/>
      <w:footerReference w:type="default" r:id="rId8"/>
      <w:pgSz w:w="11906" w:h="16838"/>
      <w:pgMar w:top="1134" w:right="1134" w:bottom="1134" w:left="1134" w:header="708" w:footer="708"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41DB9" w:rsidRDefault="00541DB9" w:rsidP="004641EF">
      <w:r>
        <w:separator/>
      </w:r>
    </w:p>
  </w:endnote>
  <w:endnote w:type="continuationSeparator" w:id="1">
    <w:p w:rsidR="00541DB9" w:rsidRDefault="00541DB9" w:rsidP="004641EF">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embedRegular r:id="rId1" w:fontKey="{1B5966D0-1E75-4059-AD9A-EDC66DE5B043}"/>
    <w:embedBold r:id="rId2" w:fontKey="{F3E665BD-1DF9-4BDE-AA81-0BB9F4DB1D84}"/>
    <w:embedItalic r:id="rId3" w:fontKey="{C68F7E3C-6D56-4FCF-A21A-2DF5B69E5D2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70697998-7BA4-4C4F-A705-605CA4AC006C}"/>
  </w:font>
  <w:font w:name="Cambria">
    <w:panose1 w:val="02040503050406030204"/>
    <w:charset w:val="00"/>
    <w:family w:val="roman"/>
    <w:pitch w:val="variable"/>
    <w:sig w:usb0="E00006FF" w:usb1="420024FF" w:usb2="02000000" w:usb3="00000000" w:csb0="0000019F" w:csb1="00000000"/>
    <w:embedRegular r:id="rId5" w:fontKey="{1F318BD4-0601-4974-8865-5FA632A4200D}"/>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641EF" w:rsidRDefault="0050440D">
    <w:pPr>
      <w:pStyle w:val="normal0"/>
      <w:jc w:val="center"/>
    </w:pPr>
    <w:r>
      <w:rPr>
        <w:color w:val="666666"/>
        <w:sz w:val="16"/>
        <w:szCs w:val="16"/>
      </w:rPr>
      <w:t xml:space="preserve">info@eig.global   |   Page </w:t>
    </w:r>
    <w:r w:rsidR="001360AE">
      <w:rPr>
        <w:color w:val="666666"/>
        <w:sz w:val="16"/>
        <w:szCs w:val="16"/>
      </w:rPr>
      <w:fldChar w:fldCharType="begin"/>
    </w:r>
    <w:r>
      <w:rPr>
        <w:color w:val="666666"/>
        <w:sz w:val="16"/>
        <w:szCs w:val="16"/>
      </w:rPr>
      <w:instrText>PAGE</w:instrText>
    </w:r>
    <w:r w:rsidR="001360AE">
      <w:rPr>
        <w:color w:val="666666"/>
        <w:sz w:val="16"/>
        <w:szCs w:val="16"/>
      </w:rPr>
      <w:fldChar w:fldCharType="separate"/>
    </w:r>
    <w:r w:rsidR="0058297E">
      <w:rPr>
        <w:noProof/>
        <w:color w:val="666666"/>
        <w:sz w:val="16"/>
        <w:szCs w:val="16"/>
      </w:rPr>
      <w:t>5</w:t>
    </w:r>
    <w:r w:rsidR="001360AE">
      <w:rPr>
        <w:color w:val="666666"/>
        <w:sz w:val="16"/>
        <w:szCs w:val="16"/>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41DB9" w:rsidRDefault="00541DB9" w:rsidP="004641EF">
      <w:r>
        <w:separator/>
      </w:r>
    </w:p>
  </w:footnote>
  <w:footnote w:type="continuationSeparator" w:id="1">
    <w:p w:rsidR="00541DB9" w:rsidRDefault="00541DB9" w:rsidP="004641E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641EF" w:rsidRDefault="0050440D">
    <w:pPr>
      <w:pStyle w:val="normal0"/>
      <w:jc w:val="right"/>
    </w:pPr>
    <w:r>
      <w:rPr>
        <w:color w:val="666666"/>
        <w:sz w:val="16"/>
        <w:szCs w:val="16"/>
      </w:rPr>
      <w:t>Enigma Investment Group  |  Confidential</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characterSpacingControl w:val="doNotCompress"/>
  <w:footnotePr>
    <w:footnote w:id="0"/>
    <w:footnote w:id="1"/>
  </w:footnotePr>
  <w:endnotePr>
    <w:endnote w:id="0"/>
    <w:endnote w:id="1"/>
  </w:endnotePr>
  <w:compat/>
  <w:rsids>
    <w:rsidRoot w:val="004641EF"/>
    <w:rsid w:val="000E7D9F"/>
    <w:rsid w:val="001360AE"/>
    <w:rsid w:val="004641EF"/>
    <w:rsid w:val="0050440D"/>
    <w:rsid w:val="00541DB9"/>
    <w:rsid w:val="0058297E"/>
    <w:rsid w:val="00CE783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1"/>
        <w:szCs w:val="21"/>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60AE"/>
  </w:style>
  <w:style w:type="paragraph" w:styleId="Heading1">
    <w:name w:val="heading 1"/>
    <w:basedOn w:val="normal0"/>
    <w:next w:val="normal0"/>
    <w:rsid w:val="004641EF"/>
    <w:pPr>
      <w:pBdr>
        <w:top w:val="nil"/>
        <w:left w:val="nil"/>
        <w:bottom w:val="nil"/>
        <w:right w:val="nil"/>
        <w:between w:val="nil"/>
      </w:pBdr>
      <w:outlineLvl w:val="0"/>
    </w:pPr>
    <w:rPr>
      <w:color w:val="2E74B5"/>
      <w:sz w:val="32"/>
      <w:szCs w:val="32"/>
    </w:rPr>
  </w:style>
  <w:style w:type="paragraph" w:styleId="Heading2">
    <w:name w:val="heading 2"/>
    <w:basedOn w:val="normal0"/>
    <w:next w:val="normal0"/>
    <w:rsid w:val="004641EF"/>
    <w:pPr>
      <w:pBdr>
        <w:top w:val="nil"/>
        <w:left w:val="nil"/>
        <w:bottom w:val="nil"/>
        <w:right w:val="nil"/>
        <w:between w:val="nil"/>
      </w:pBdr>
      <w:outlineLvl w:val="1"/>
    </w:pPr>
    <w:rPr>
      <w:color w:val="2E74B5"/>
      <w:sz w:val="26"/>
      <w:szCs w:val="26"/>
    </w:rPr>
  </w:style>
  <w:style w:type="paragraph" w:styleId="Heading3">
    <w:name w:val="heading 3"/>
    <w:basedOn w:val="normal0"/>
    <w:next w:val="normal0"/>
    <w:rsid w:val="004641EF"/>
    <w:pPr>
      <w:pBdr>
        <w:top w:val="nil"/>
        <w:left w:val="nil"/>
        <w:bottom w:val="nil"/>
        <w:right w:val="nil"/>
        <w:between w:val="nil"/>
      </w:pBdr>
      <w:outlineLvl w:val="2"/>
    </w:pPr>
    <w:rPr>
      <w:color w:val="1F4D78"/>
      <w:sz w:val="24"/>
      <w:szCs w:val="24"/>
    </w:rPr>
  </w:style>
  <w:style w:type="paragraph" w:styleId="Heading4">
    <w:name w:val="heading 4"/>
    <w:basedOn w:val="normal0"/>
    <w:next w:val="normal0"/>
    <w:rsid w:val="004641EF"/>
    <w:pPr>
      <w:pBdr>
        <w:top w:val="nil"/>
        <w:left w:val="nil"/>
        <w:bottom w:val="nil"/>
        <w:right w:val="nil"/>
        <w:between w:val="nil"/>
      </w:pBdr>
      <w:outlineLvl w:val="3"/>
    </w:pPr>
    <w:rPr>
      <w:i/>
      <w:iCs/>
      <w:color w:val="2E74B5"/>
    </w:rPr>
  </w:style>
  <w:style w:type="paragraph" w:styleId="Heading5">
    <w:name w:val="heading 5"/>
    <w:basedOn w:val="normal0"/>
    <w:next w:val="normal0"/>
    <w:rsid w:val="004641EF"/>
    <w:pPr>
      <w:pBdr>
        <w:top w:val="nil"/>
        <w:left w:val="nil"/>
        <w:bottom w:val="nil"/>
        <w:right w:val="nil"/>
        <w:between w:val="nil"/>
      </w:pBdr>
      <w:outlineLvl w:val="4"/>
    </w:pPr>
    <w:rPr>
      <w:color w:val="2E74B5"/>
    </w:rPr>
  </w:style>
  <w:style w:type="paragraph" w:styleId="Heading6">
    <w:name w:val="heading 6"/>
    <w:basedOn w:val="normal0"/>
    <w:next w:val="normal0"/>
    <w:rsid w:val="004641EF"/>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4641EF"/>
    <w:tblPr>
      <w:tblCellMar>
        <w:top w:w="100" w:type="dxa"/>
        <w:left w:w="100" w:type="dxa"/>
        <w:bottom w:w="100" w:type="dxa"/>
        <w:right w:w="100" w:type="dxa"/>
      </w:tblCellMar>
    </w:tblPr>
  </w:style>
  <w:style w:type="paragraph" w:customStyle="1" w:styleId="normal0">
    <w:name w:val="normal"/>
    <w:rsid w:val="004641EF"/>
  </w:style>
  <w:style w:type="paragraph" w:styleId="Title">
    <w:name w:val="Title"/>
    <w:basedOn w:val="normal0"/>
    <w:next w:val="normal0"/>
    <w:rsid w:val="004641EF"/>
    <w:pPr>
      <w:pBdr>
        <w:top w:val="nil"/>
        <w:left w:val="nil"/>
        <w:bottom w:val="nil"/>
        <w:right w:val="nil"/>
        <w:between w:val="nil"/>
      </w:pBdr>
    </w:pPr>
    <w:rPr>
      <w:color w:val="000000"/>
      <w:sz w:val="56"/>
      <w:szCs w:val="56"/>
    </w:rPr>
  </w:style>
  <w:style w:type="paragraph" w:customStyle="1" w:styleId="Strong1">
    <w:name w:val="Strong1"/>
    <w:basedOn w:val="normal0"/>
    <w:next w:val="normal0"/>
    <w:qFormat/>
    <w:rsid w:val="004641EF"/>
    <w:rPr>
      <w:b/>
      <w:bCs/>
    </w:rPr>
  </w:style>
  <w:style w:type="paragraph" w:styleId="ListParagraph">
    <w:name w:val="List Paragraph"/>
    <w:basedOn w:val="normal0"/>
    <w:qFormat/>
    <w:rsid w:val="004641EF"/>
  </w:style>
  <w:style w:type="character" w:styleId="Hyperlink">
    <w:name w:val="Hyperlink"/>
    <w:uiPriority w:val="99"/>
    <w:unhideWhenUsed/>
    <w:rsid w:val="004641EF"/>
    <w:rPr>
      <w:color w:val="0563C1"/>
      <w:u w:val="single"/>
    </w:rPr>
  </w:style>
  <w:style w:type="character" w:styleId="FootnoteReference">
    <w:name w:val="footnote reference"/>
    <w:uiPriority w:val="99"/>
    <w:semiHidden/>
    <w:unhideWhenUsed/>
    <w:rsid w:val="004641EF"/>
    <w:rPr>
      <w:vertAlign w:val="superscript"/>
    </w:rPr>
  </w:style>
  <w:style w:type="paragraph" w:styleId="FootnoteText">
    <w:name w:val="footnote text"/>
    <w:basedOn w:val="normal0"/>
    <w:link w:val="FootnoteTextChar"/>
    <w:uiPriority w:val="99"/>
    <w:semiHidden/>
    <w:unhideWhenUsed/>
    <w:rsid w:val="004641EF"/>
    <w:rPr>
      <w:sz w:val="20"/>
      <w:szCs w:val="20"/>
    </w:rPr>
  </w:style>
  <w:style w:type="character" w:customStyle="1" w:styleId="FootnoteTextChar">
    <w:name w:val="Footnote Text Char"/>
    <w:link w:val="FootnoteText"/>
    <w:uiPriority w:val="99"/>
    <w:semiHidden/>
    <w:unhideWhenUsed/>
    <w:rsid w:val="004641EF"/>
    <w:rPr>
      <w:sz w:val="20"/>
      <w:szCs w:val="20"/>
    </w:rPr>
  </w:style>
  <w:style w:type="character" w:styleId="EndnoteReference">
    <w:name w:val="endnote reference"/>
    <w:uiPriority w:val="99"/>
    <w:semiHidden/>
    <w:unhideWhenUsed/>
    <w:rsid w:val="004641EF"/>
    <w:rPr>
      <w:vertAlign w:val="superscript"/>
    </w:rPr>
  </w:style>
  <w:style w:type="paragraph" w:styleId="EndnoteText">
    <w:name w:val="endnote text"/>
    <w:basedOn w:val="normal0"/>
    <w:link w:val="EndnoteTextChar"/>
    <w:uiPriority w:val="99"/>
    <w:semiHidden/>
    <w:unhideWhenUsed/>
    <w:rsid w:val="004641EF"/>
    <w:rPr>
      <w:sz w:val="20"/>
      <w:szCs w:val="20"/>
    </w:rPr>
  </w:style>
  <w:style w:type="character" w:customStyle="1" w:styleId="EndnoteTextChar">
    <w:name w:val="Endnote Text Char"/>
    <w:link w:val="EndnoteText"/>
    <w:uiPriority w:val="99"/>
    <w:semiHidden/>
    <w:unhideWhenUsed/>
    <w:rsid w:val="004641EF"/>
    <w:rPr>
      <w:sz w:val="20"/>
      <w:szCs w:val="20"/>
    </w:rPr>
  </w:style>
  <w:style w:type="paragraph" w:styleId="Subtitle">
    <w:name w:val="Subtitle"/>
    <w:basedOn w:val="normal0"/>
    <w:next w:val="normal0"/>
    <w:rsid w:val="004641EF"/>
    <w:pPr>
      <w:keepNext/>
      <w:keepLines/>
      <w:spacing w:before="360" w:after="80"/>
    </w:pPr>
    <w:rPr>
      <w:rFonts w:ascii="Georgia" w:eastAsia="Georgia" w:hAnsi="Georgia" w:cs="Georgia"/>
      <w:i/>
      <w:iCs/>
      <w:color w:val="666666"/>
      <w:sz w:val="48"/>
      <w:szCs w:val="48"/>
    </w:rPr>
  </w:style>
  <w:style w:type="table" w:customStyle="1" w:styleId="a">
    <w:basedOn w:val="TableNormal0"/>
    <w:rsid w:val="004641EF"/>
    <w:tblPr>
      <w:tblStyleRowBandSize w:val="1"/>
      <w:tblStyleColBandSize w:val="1"/>
      <w:tblCellMar>
        <w:top w:w="0" w:type="dxa"/>
        <w:left w:w="115" w:type="dxa"/>
        <w:bottom w:w="0" w:type="dxa"/>
        <w:right w:w="115" w:type="dxa"/>
      </w:tblCellMar>
    </w:tblPr>
  </w:style>
  <w:style w:type="table" w:customStyle="1" w:styleId="a0">
    <w:basedOn w:val="TableNormal0"/>
    <w:rsid w:val="004641EF"/>
    <w:tblPr>
      <w:tblStyleRowBandSize w:val="1"/>
      <w:tblStyleColBandSize w:val="1"/>
      <w:tblCellMar>
        <w:top w:w="0" w:type="dxa"/>
        <w:left w:w="115" w:type="dxa"/>
        <w:bottom w:w="0" w:type="dxa"/>
        <w:right w:w="115" w:type="dxa"/>
      </w:tblCellMar>
    </w:tblPr>
  </w:style>
  <w:style w:type="table" w:customStyle="1" w:styleId="a1">
    <w:basedOn w:val="TableNormal0"/>
    <w:rsid w:val="004641EF"/>
    <w:tblPr>
      <w:tblStyleRowBandSize w:val="1"/>
      <w:tblStyleColBandSize w:val="1"/>
      <w:tblCellMar>
        <w:top w:w="0" w:type="dxa"/>
        <w:left w:w="115" w:type="dxa"/>
        <w:bottom w:w="0" w:type="dxa"/>
        <w:right w:w="115" w:type="dxa"/>
      </w:tblCellMar>
    </w:tblPr>
  </w:style>
  <w:style w:type="table" w:customStyle="1" w:styleId="a2">
    <w:basedOn w:val="TableNormal0"/>
    <w:rsid w:val="004641EF"/>
    <w:tblPr>
      <w:tblStyleRowBandSize w:val="1"/>
      <w:tblStyleColBandSize w:val="1"/>
      <w:tblCellMar>
        <w:top w:w="0" w:type="dxa"/>
        <w:left w:w="115" w:type="dxa"/>
        <w:bottom w:w="0" w:type="dxa"/>
        <w:right w:w="115" w:type="dxa"/>
      </w:tblCellMar>
    </w:tblPr>
  </w:style>
  <w:style w:type="table" w:customStyle="1" w:styleId="a3">
    <w:basedOn w:val="TableNormal0"/>
    <w:rsid w:val="004641EF"/>
    <w:tblPr>
      <w:tblStyleRowBandSize w:val="1"/>
      <w:tblStyleColBandSize w:val="1"/>
      <w:tblCellMar>
        <w:top w:w="0" w:type="dxa"/>
        <w:left w:w="115" w:type="dxa"/>
        <w:bottom w:w="0" w:type="dxa"/>
        <w:right w:w="115" w:type="dxa"/>
      </w:tblCellMar>
    </w:tblPr>
  </w:style>
  <w:style w:type="table" w:customStyle="1" w:styleId="a4">
    <w:basedOn w:val="TableNormal0"/>
    <w:rsid w:val="004641EF"/>
    <w:tblPr>
      <w:tblStyleRowBandSize w:val="1"/>
      <w:tblStyleColBandSize w:val="1"/>
      <w:tblCellMar>
        <w:top w:w="0" w:type="dxa"/>
        <w:left w:w="115" w:type="dxa"/>
        <w:bottom w:w="0" w:type="dxa"/>
        <w:right w:w="115" w:type="dxa"/>
      </w:tblCellMar>
    </w:tblPr>
  </w:style>
  <w:style w:type="table" w:customStyle="1" w:styleId="a5">
    <w:basedOn w:val="TableNormal0"/>
    <w:rsid w:val="004641EF"/>
    <w:tblPr>
      <w:tblStyleRowBandSize w:val="1"/>
      <w:tblStyleColBandSize w:val="1"/>
      <w:tblCellMar>
        <w:top w:w="0" w:type="dxa"/>
        <w:left w:w="115" w:type="dxa"/>
        <w:bottom w:w="0" w:type="dxa"/>
        <w:right w:w="115" w:type="dxa"/>
      </w:tblCellMar>
    </w:tblPr>
  </w:style>
  <w:style w:type="table" w:customStyle="1" w:styleId="a6">
    <w:basedOn w:val="TableNormal0"/>
    <w:rsid w:val="004641EF"/>
    <w:tblPr>
      <w:tblStyleRowBandSize w:val="1"/>
      <w:tblStyleColBandSize w:val="1"/>
      <w:tblCellMar>
        <w:top w:w="0" w:type="dxa"/>
        <w:left w:w="115" w:type="dxa"/>
        <w:bottom w:w="0" w:type="dxa"/>
        <w:right w:w="115" w:type="dxa"/>
      </w:tblCellMar>
    </w:tblPr>
  </w:style>
  <w:style w:type="table" w:customStyle="1" w:styleId="a7">
    <w:basedOn w:val="TableNormal0"/>
    <w:rsid w:val="004641EF"/>
    <w:tblPr>
      <w:tblStyleRowBandSize w:val="1"/>
      <w:tblStyleColBandSize w:val="1"/>
      <w:tblCellMar>
        <w:top w:w="0" w:type="dxa"/>
        <w:left w:w="115" w:type="dxa"/>
        <w:bottom w:w="0" w:type="dxa"/>
        <w:right w:w="115" w:type="dxa"/>
      </w:tblCellMar>
    </w:tblPr>
  </w:style>
  <w:style w:type="table" w:customStyle="1" w:styleId="a8">
    <w:basedOn w:val="TableNormal0"/>
    <w:rsid w:val="004641EF"/>
    <w:tblPr>
      <w:tblStyleRowBandSize w:val="1"/>
      <w:tblStyleColBandSize w:val="1"/>
      <w:tblCellMar>
        <w:top w:w="0" w:type="dxa"/>
        <w:left w:w="115" w:type="dxa"/>
        <w:bottom w:w="0" w:type="dxa"/>
        <w:right w:w="115" w:type="dxa"/>
      </w:tblCellMar>
    </w:tblPr>
  </w:style>
  <w:style w:type="table" w:customStyle="1" w:styleId="a9">
    <w:basedOn w:val="TableNormal0"/>
    <w:rsid w:val="004641EF"/>
    <w:tblPr>
      <w:tblStyleRowBandSize w:val="1"/>
      <w:tblStyleColBandSize w:val="1"/>
      <w:tblCellMar>
        <w:top w:w="0" w:type="dxa"/>
        <w:left w:w="115" w:type="dxa"/>
        <w:bottom w:w="0" w:type="dxa"/>
        <w:right w:w="115" w:type="dxa"/>
      </w:tblCellMar>
    </w:tblPr>
  </w:style>
  <w:style w:type="table" w:customStyle="1" w:styleId="aa">
    <w:basedOn w:val="TableNormal0"/>
    <w:rsid w:val="004641EF"/>
    <w:tblPr>
      <w:tblStyleRowBandSize w:val="1"/>
      <w:tblStyleColBandSize w:val="1"/>
      <w:tblCellMar>
        <w:top w:w="0" w:type="dxa"/>
        <w:left w:w="115" w:type="dxa"/>
        <w:bottom w:w="0" w:type="dxa"/>
        <w:right w:w="115" w:type="dxa"/>
      </w:tblCellMar>
    </w:tblPr>
  </w:style>
  <w:style w:type="table" w:customStyle="1" w:styleId="ab">
    <w:basedOn w:val="TableNormal0"/>
    <w:rsid w:val="004641EF"/>
    <w:tblPr>
      <w:tblStyleRowBandSize w:val="1"/>
      <w:tblStyleColBandSize w:val="1"/>
      <w:tblCellMar>
        <w:top w:w="0" w:type="dxa"/>
        <w:left w:w="115" w:type="dxa"/>
        <w:bottom w:w="0" w:type="dxa"/>
        <w:right w:w="115" w:type="dxa"/>
      </w:tblCellMar>
    </w:tblPr>
  </w:style>
  <w:style w:type="table" w:customStyle="1" w:styleId="ac">
    <w:basedOn w:val="TableNormal0"/>
    <w:rsid w:val="004641EF"/>
    <w:tblPr>
      <w:tblStyleRowBandSize w:val="1"/>
      <w:tblStyleColBandSize w:val="1"/>
      <w:tblCellMar>
        <w:top w:w="0" w:type="dxa"/>
        <w:left w:w="115" w:type="dxa"/>
        <w:bottom w:w="0" w:type="dxa"/>
        <w:right w:w="115" w:type="dxa"/>
      </w:tblCellMar>
    </w:tblPr>
  </w:style>
  <w:style w:type="table" w:customStyle="1" w:styleId="ad">
    <w:basedOn w:val="TableNormal0"/>
    <w:rsid w:val="004641EF"/>
    <w:tblPr>
      <w:tblStyleRowBandSize w:val="1"/>
      <w:tblStyleColBandSize w:val="1"/>
      <w:tblCellMar>
        <w:top w:w="0" w:type="dxa"/>
        <w:left w:w="115" w:type="dxa"/>
        <w:bottom w:w="0" w:type="dxa"/>
        <w:right w:w="115" w:type="dxa"/>
      </w:tblCellMar>
    </w:tblPr>
  </w:style>
  <w:style w:type="table" w:customStyle="1" w:styleId="ae">
    <w:basedOn w:val="TableNormal0"/>
    <w:rsid w:val="004641EF"/>
    <w:tblPr>
      <w:tblStyleRowBandSize w:val="1"/>
      <w:tblStyleColBandSize w:val="1"/>
      <w:tblCellMar>
        <w:top w:w="0" w:type="dxa"/>
        <w:left w:w="115" w:type="dxa"/>
        <w:bottom w:w="0" w:type="dxa"/>
        <w:right w:w="115" w:type="dxa"/>
      </w:tblCellMar>
    </w:tblPr>
  </w:style>
  <w:style w:type="table" w:customStyle="1" w:styleId="af">
    <w:basedOn w:val="TableNormal0"/>
    <w:rsid w:val="004641EF"/>
    <w:tblPr>
      <w:tblStyleRowBandSize w:val="1"/>
      <w:tblStyleColBandSize w:val="1"/>
      <w:tblCellMar>
        <w:top w:w="0" w:type="dxa"/>
        <w:left w:w="115" w:type="dxa"/>
        <w:bottom w:w="0" w:type="dxa"/>
        <w:right w:w="115" w:type="dxa"/>
      </w:tblCellMar>
    </w:tblPr>
  </w:style>
  <w:style w:type="table" w:customStyle="1" w:styleId="af0">
    <w:basedOn w:val="TableNormal0"/>
    <w:rsid w:val="004641EF"/>
    <w:tblPr>
      <w:tblStyleRowBandSize w:val="1"/>
      <w:tblStyleColBandSize w:val="1"/>
      <w:tblCellMar>
        <w:top w:w="0" w:type="dxa"/>
        <w:left w:w="115" w:type="dxa"/>
        <w:bottom w:w="0" w:type="dxa"/>
        <w:right w:w="115" w:type="dxa"/>
      </w:tblCellMar>
    </w:tblPr>
  </w:style>
  <w:style w:type="table" w:customStyle="1" w:styleId="af1">
    <w:basedOn w:val="TableNormal0"/>
    <w:rsid w:val="004641EF"/>
    <w:tblPr>
      <w:tblStyleRowBandSize w:val="1"/>
      <w:tblStyleColBandSize w:val="1"/>
      <w:tblCellMar>
        <w:top w:w="0" w:type="dxa"/>
        <w:left w:w="115" w:type="dxa"/>
        <w:bottom w:w="0" w:type="dxa"/>
        <w:right w:w="115" w:type="dxa"/>
      </w:tblCellMar>
    </w:tblPr>
  </w:style>
  <w:style w:type="table" w:customStyle="1" w:styleId="af2">
    <w:basedOn w:val="TableNormal0"/>
    <w:rsid w:val="004641EF"/>
    <w:tblPr>
      <w:tblStyleRowBandSize w:val="1"/>
      <w:tblStyleColBandSize w:val="1"/>
      <w:tblCellMar>
        <w:top w:w="0" w:type="dxa"/>
        <w:left w:w="115" w:type="dxa"/>
        <w:bottom w:w="0" w:type="dxa"/>
        <w:right w:w="115" w:type="dxa"/>
      </w:tblCellMar>
    </w:tblPr>
  </w:style>
  <w:style w:type="table" w:customStyle="1" w:styleId="af3">
    <w:basedOn w:val="TableNormal0"/>
    <w:rsid w:val="004641EF"/>
    <w:tblPr>
      <w:tblStyleRowBandSize w:val="1"/>
      <w:tblStyleColBandSize w:val="1"/>
      <w:tblCellMar>
        <w:top w:w="0" w:type="dxa"/>
        <w:left w:w="115" w:type="dxa"/>
        <w:bottom w:w="0" w:type="dxa"/>
        <w:right w:w="115" w:type="dxa"/>
      </w:tblCellMar>
    </w:tblPr>
  </w:style>
  <w:style w:type="table" w:customStyle="1" w:styleId="af4">
    <w:basedOn w:val="TableNormal0"/>
    <w:rsid w:val="004641EF"/>
    <w:tblPr>
      <w:tblStyleRowBandSize w:val="1"/>
      <w:tblStyleColBandSize w:val="1"/>
      <w:tblCellMar>
        <w:top w:w="0" w:type="dxa"/>
        <w:left w:w="115" w:type="dxa"/>
        <w:bottom w:w="0" w:type="dxa"/>
        <w:right w:w="115" w:type="dxa"/>
      </w:tblCellMar>
    </w:tblPr>
  </w:style>
  <w:style w:type="table" w:customStyle="1" w:styleId="af5">
    <w:basedOn w:val="TableNormal0"/>
    <w:rsid w:val="004641EF"/>
    <w:tblPr>
      <w:tblStyleRowBandSize w:val="1"/>
      <w:tblStyleColBandSize w:val="1"/>
      <w:tblCellMar>
        <w:top w:w="0" w:type="dxa"/>
        <w:left w:w="115" w:type="dxa"/>
        <w:bottom w:w="0" w:type="dxa"/>
        <w:right w:w="115" w:type="dxa"/>
      </w:tblCellMar>
    </w:tblPr>
  </w:style>
  <w:style w:type="table" w:customStyle="1" w:styleId="af6">
    <w:basedOn w:val="TableNormal0"/>
    <w:rsid w:val="004641EF"/>
    <w:tblPr>
      <w:tblStyleRowBandSize w:val="1"/>
      <w:tblStyleColBandSize w:val="1"/>
      <w:tblCellMar>
        <w:top w:w="0" w:type="dxa"/>
        <w:left w:w="115" w:type="dxa"/>
        <w:bottom w:w="0" w:type="dxa"/>
        <w:right w:w="115" w:type="dxa"/>
      </w:tblCellMar>
    </w:tblPr>
  </w:style>
  <w:style w:type="table" w:customStyle="1" w:styleId="af7">
    <w:basedOn w:val="TableNormal0"/>
    <w:rsid w:val="004641EF"/>
    <w:tblPr>
      <w:tblStyleRowBandSize w:val="1"/>
      <w:tblStyleColBandSize w:val="1"/>
      <w:tblCellMar>
        <w:top w:w="0" w:type="dxa"/>
        <w:left w:w="115" w:type="dxa"/>
        <w:bottom w:w="0" w:type="dxa"/>
        <w:right w:w="115" w:type="dxa"/>
      </w:tblCellMar>
    </w:tblPr>
  </w:style>
  <w:style w:type="table" w:customStyle="1" w:styleId="af8">
    <w:basedOn w:val="TableNormal0"/>
    <w:rsid w:val="004641EF"/>
    <w:tblPr>
      <w:tblStyleRowBandSize w:val="1"/>
      <w:tblStyleColBandSize w:val="1"/>
      <w:tblCellMar>
        <w:top w:w="0" w:type="dxa"/>
        <w:left w:w="115" w:type="dxa"/>
        <w:bottom w:w="0" w:type="dxa"/>
        <w:right w:w="115" w:type="dxa"/>
      </w:tblCellMar>
    </w:tblPr>
  </w:style>
  <w:style w:type="table" w:customStyle="1" w:styleId="af9">
    <w:basedOn w:val="TableNormal0"/>
    <w:rsid w:val="004641EF"/>
    <w:tblPr>
      <w:tblStyleRowBandSize w:val="1"/>
      <w:tblStyleColBandSize w:val="1"/>
      <w:tblCellMar>
        <w:top w:w="0" w:type="dxa"/>
        <w:left w:w="115" w:type="dxa"/>
        <w:bottom w:w="0" w:type="dxa"/>
        <w:right w:w="115" w:type="dxa"/>
      </w:tblCellMar>
    </w:tblPr>
  </w:style>
  <w:style w:type="table" w:customStyle="1" w:styleId="afa">
    <w:basedOn w:val="TableNormal0"/>
    <w:rsid w:val="004641EF"/>
    <w:tblPr>
      <w:tblStyleRowBandSize w:val="1"/>
      <w:tblStyleColBandSize w:val="1"/>
      <w:tblCellMar>
        <w:top w:w="0" w:type="dxa"/>
        <w:left w:w="115" w:type="dxa"/>
        <w:bottom w:w="0" w:type="dxa"/>
        <w:right w:w="115" w:type="dxa"/>
      </w:tblCellMar>
    </w:tblPr>
  </w:style>
  <w:style w:type="table" w:customStyle="1" w:styleId="afb">
    <w:basedOn w:val="TableNormal0"/>
    <w:rsid w:val="004641EF"/>
    <w:tblPr>
      <w:tblStyleRowBandSize w:val="1"/>
      <w:tblStyleColBandSize w:val="1"/>
      <w:tblCellMar>
        <w:top w:w="0" w:type="dxa"/>
        <w:left w:w="115" w:type="dxa"/>
        <w:bottom w:w="0" w:type="dxa"/>
        <w:right w:w="115" w:type="dxa"/>
      </w:tblCellMar>
    </w:tblPr>
  </w:style>
  <w:style w:type="table" w:customStyle="1" w:styleId="afc">
    <w:basedOn w:val="TableNormal0"/>
    <w:rsid w:val="004641EF"/>
    <w:tblPr>
      <w:tblStyleRowBandSize w:val="1"/>
      <w:tblStyleColBandSize w:val="1"/>
      <w:tblCellMar>
        <w:top w:w="0" w:type="dxa"/>
        <w:left w:w="115" w:type="dxa"/>
        <w:bottom w:w="0" w:type="dxa"/>
        <w:right w:w="115" w:type="dxa"/>
      </w:tblCellMar>
    </w:tblPr>
  </w:style>
  <w:style w:type="table" w:customStyle="1" w:styleId="afd">
    <w:basedOn w:val="TableNormal0"/>
    <w:rsid w:val="004641EF"/>
    <w:tblPr>
      <w:tblStyleRowBandSize w:val="1"/>
      <w:tblStyleColBandSize w:val="1"/>
      <w:tblCellMar>
        <w:top w:w="0" w:type="dxa"/>
        <w:left w:w="115" w:type="dxa"/>
        <w:bottom w:w="0" w:type="dxa"/>
        <w:right w:w="115" w:type="dxa"/>
      </w:tblCellMar>
    </w:tbl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M5J/h/WnvZtHC18fNJPkaMnwbA==">CgMxLjA4AHIhMUk0RXY3T3BnbVJSYU90VFRDWHd0clN3QUJuc3IzUUtw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1</Pages>
  <Words>2483</Words>
  <Characters>14159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Asanetic</cp:lastModifiedBy>
  <cp:revision>4</cp:revision>
  <dcterms:created xsi:type="dcterms:W3CDTF">2026-09-24T10:07:00Z</dcterms:created>
  <dcterms:modified xsi:type="dcterms:W3CDTF">2026-09-25T12:17:00Z</dcterms:modified>
</cp:coreProperties>
</file>