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6"/>
          <w:szCs w:val="36"/>
          <w:rtl w:val="0"/>
        </w:rPr>
        <w:t xml:space="preserve">ENIGMA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rPr/>
      </w:pPr>
      <w:r w:rsidDel="00000000" w:rsidR="00000000" w:rsidRPr="00000000">
        <w:rPr>
          <w:color w:val="b08d57"/>
          <w:sz w:val="20"/>
          <w:szCs w:val="20"/>
          <w:rtl w:val="0"/>
        </w:rPr>
        <w:t xml:space="preserve">INVESTMENT GROUP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rPr/>
      </w:pPr>
      <w:r w:rsidDel="00000000" w:rsidR="00000000" w:rsidRPr="00000000">
        <w:rPr>
          <w:b w:val="1"/>
          <w:bCs w:val="1"/>
          <w:color w:val="1f2a44"/>
          <w:sz w:val="34"/>
          <w:szCs w:val="34"/>
          <w:rtl w:val="0"/>
        </w:rPr>
        <w:t xml:space="preserve">Early-Stage Innovation &amp; Technology Screening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color w:val="1f2a44"/>
          <w:sz w:val="24"/>
          <w:szCs w:val="24"/>
          <w:rtl w:val="0"/>
        </w:rPr>
        <w:t xml:space="preserve">With Supplementary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Where an answer is not yet known, please say so — an honest “not yet” is more useful to us than an estimate presented as fact. Answer boxes will expand as you type.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2"/>
          <w:szCs w:val="32"/>
          <w:rtl w:val="0"/>
        </w:rPr>
        <w:t xml:space="preserve">Part A — EIG Screening 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Complete all applicable fields.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About the company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name: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Summit Surds Limited — product: Octane Obit (forecourt management platform)</w:t>
            </w:r>
          </w:p>
        </w:tc>
      </w:tr>
    </w:tbl>
    <w:p w:rsidR="00000000" w:rsidDel="00000000" w:rsidP="00000000" w:rsidRDefault="00000000" w:rsidRPr="00000000" w14:paraId="0000000B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Brief overview of the business and product: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Octane Obit is a forecourt management and reconciliation platform for downstream fuel retailers. It connects every stage of a station's operations — delivery, wet stock (live ATG tank levels), pumps and nozzles, sales (fuel, dry stock, LPG, rental income), cash/M-Pesa/bank and KRA eTIMS fiscalization — into a single reconciliation engine that continuously compares expected against actual.</w:t>
            </w:r>
          </w:p>
          <w:p>
            <w:pPr>
              <w:spacing w:before="80"/>
            </w:pPr>
            <w:r>
              <w:rPr>
                <w:sz w:val="20"/>
              </w:rPr>
              <w:t>Losses from staff theft, unlogged dispensing, meter tampering and unreconciled payments are flagged in the same shift they happen, instead of weeks later at month-end. Shift closure is blocked until an attendant's shift balances, and owners see station, branch or company-wide dashboards in real time.</w:t>
            </w:r>
          </w:p>
          <w:p>
            <w:pPr>
              <w:spacing w:before="80"/>
            </w:pPr>
            <w:r>
              <w:rPr>
                <w:sz w:val="20"/>
              </w:rPr>
              <w:t>The platform is live and reconciling at a pilot merchant station today. It is sold as a per-station SaaS subscription, with additional revenue from payment processing, hardware integration and insurance referral commissions.</w:t>
            </w:r>
          </w:p>
        </w:tc>
      </w:tr>
    </w:tbl>
    <w:p w:rsidR="00000000" w:rsidDel="00000000" w:rsidP="00000000" w:rsidRDefault="00000000" w:rsidRPr="00000000" w14:paraId="0000000D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Sector(s) the business operates in: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Note: capital-intensive hardware/manufacturing plays (e.g. EV or battery manufacturing) fall outside this mandate unless the core value proposition is technology- or innovation-led. Other innovation (specify below):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>☒ Fintech &amp; payments      ☐ Healthtech      ☐ Cleantech / climate &amp; energy      ☐ Agritech      ☐ Logistics &amp; supply chain      ☐ E-commerce / marketplace      ☐ Edtech      ☐ Deep tech / AI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Other: B2B vertical SaaS for downstream fuel retail (forecourt operations, loss prevention and tax-compliance technology), integrated with IoT hardware (ATG tank probes, flow meters, forecourt controllers). The hardware is off-the-shelf and procured, not manufactured; the core value is the software and reconciliation engine. Fintech elements: payment processing and a hardware-financing Lending Module.</w:t>
            </w:r>
          </w:p>
        </w:tc>
      </w:tr>
    </w:tbl>
    <w:p w:rsidR="00000000" w:rsidDel="00000000" w:rsidP="00000000" w:rsidRDefault="00000000" w:rsidRPr="00000000" w14:paraId="00000011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Countries of current operation: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Kenya</w:t>
            </w:r>
          </w:p>
        </w:tc>
      </w:tr>
    </w:tbl>
    <w:p w:rsidR="00000000" w:rsidDel="00000000" w:rsidP="00000000" w:rsidRDefault="00000000" w:rsidRPr="00000000" w14:paraId="00000013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Target countries for expansion: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Zambia (next market — 40+ stations have expressed interest unprompted; early-stage conversations, not yet contracted), followed by other African downstream fuel retail markets.</w:t>
            </w:r>
          </w:p>
        </w:tc>
      </w:tr>
    </w:tbl>
    <w:p w:rsidR="00000000" w:rsidDel="00000000" w:rsidP="00000000" w:rsidRDefault="00000000" w:rsidRPr="00000000" w14:paraId="00000015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Region &amp; compliance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Region(s) of operation: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>☐ North Africa      ☐ West Africa      ☒ East Africa      ☐ Southern Africa</w:t>
      </w:r>
      <w:r w:rsidDel="00000000" w:rsidR="00000000" w:rsidRPr="00000000">
        <w:rPr>
          <w:rtl w:val="0"/>
        </w:rPr>
      </w:r>
      <w:r>
        <w:rPr>
          <w:sz w:val="20"/>
        </w:rPr>
        <w:t xml:space="preserve">   (Zambia, the next target market, is in Southern Africa)</w:t>
      </w:r>
    </w:p>
    <w:p w:rsidR="00000000" w:rsidDel="00000000" w:rsidP="00000000" w:rsidRDefault="00000000" w:rsidRPr="00000000" w14:paraId="0000001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 the country of operation currently free of international sanctions?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>☒ Yes      ☐ 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Stage &amp; traction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Company stage: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>☐ Pre-seed      ☐ Seed      ☒ Already trading</w:t>
      </w:r>
      <w:r w:rsidDel="00000000" w:rsidR="00000000" w:rsidRPr="00000000">
        <w:rPr>
          <w:rtl w:val="0"/>
        </w:rPr>
      </w:r>
      <w:r>
        <w:rPr>
          <w:sz w:val="20"/>
        </w:rPr>
        <w:t xml:space="preserve">   </w:t>
      </w:r>
      <w:r>
        <w:rPr>
          <w:i/>
          <w:sz w:val="20"/>
          <w:highlight w:val="yellow"/>
        </w:rPr>
        <w:t>[TO CONFIRM: pilot is live — confirm the company is invoicing / trading, otherwise tick Seed]</w:t>
      </w:r>
    </w:p>
    <w:p w:rsidR="00000000" w:rsidDel="00000000" w:rsidP="00000000" w:rsidRDefault="00000000" w:rsidRPr="00000000" w14:paraId="0000001D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9.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already trading: how long has the company been operating, and what traction can you demonstrate (users, transaction volume, signed pilots/MOUs)?</w:t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Platform lineage dates to 2021 (originally developed under Josprix Solutions Limited; now built and commercialised under Summit Surds Limited).</w:t>
            </w:r>
          </w:p>
          <w:p>
            <w:pPr>
              <w:spacing w:before="80"/>
            </w:pPr>
            <w:r>
              <w:rPr>
                <w:sz w:val="20"/>
              </w:rPr>
              <w:t>Traction to date:</w:t>
            </w:r>
          </w:p>
          <w:p>
            <w:pPr>
              <w:spacing w:before="80"/>
            </w:pPr>
            <w:r>
              <w:rPr>
                <w:sz w:val="20"/>
              </w:rPr>
              <w:t>• Live at a pilot merchant station — real-time delivery, tank, pump, sales and payment reconciliation in production, including automated KRA eTIMS fiscalization and shift closing.</w:t>
            </w:r>
          </w:p>
          <w:p>
            <w:pPr>
              <w:spacing w:before="80"/>
            </w:pPr>
            <w:r>
              <w:rPr>
                <w:sz w:val="20"/>
              </w:rPr>
              <w:t xml:space="preserve">• 50+ station owners on a referral waitlist, already introduced. </w:t>
            </w:r>
            <w:r>
              <w:rPr>
                <w:i/>
                <w:sz w:val="20"/>
                <w:highlight w:val="yellow"/>
              </w:rPr>
              <w:t>[TO CONFIRM: state how many have signed LOIs/MOUs, if any]</w:t>
            </w:r>
          </w:p>
          <w:p>
            <w:pPr>
              <w:spacing w:before="80"/>
            </w:pPr>
            <w:r>
              <w:rPr>
                <w:sz w:val="20"/>
              </w:rPr>
              <w:t>• 40+ stations in Zambia have expressed interest unprompted (not yet contracted).</w:t>
            </w:r>
          </w:p>
          <w:p>
            <w:pPr>
              <w:spacing w:before="80"/>
            </w:pPr>
            <w:r>
              <w:rPr>
                <w:sz w:val="20"/>
              </w:rPr>
              <w:t>• The same model is under technical and commercial review for a Netherlands Embassy Business Climate Programme grant.</w:t>
            </w:r>
          </w:p>
          <w:p>
            <w:pPr>
              <w:spacing w:before="80"/>
            </w:pPr>
            <w:r>
              <w:rPr>
                <w:i/>
                <w:sz w:val="20"/>
                <w:highlight w:val="yellow"/>
              </w:rPr>
              <w:t>[TO CONFIRM: add pilot volumes if you want to cite them, e.g. litres/transactions reconciled per month, variances caught since go-live]</w:t>
            </w:r>
          </w:p>
        </w:tc>
      </w:tr>
    </w:tbl>
    <w:p w:rsidR="00000000" w:rsidDel="00000000" w:rsidP="00000000" w:rsidRDefault="00000000" w:rsidRPr="00000000" w14:paraId="0000001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10.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 monthly or annual revenue, if any: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current monthly revenue, e.g. subscription fees from the pilot station — or state 'Pre-revenue / pilot not yet billed']</w:t>
            </w:r>
          </w:p>
        </w:tc>
      </w:tr>
    </w:tbl>
    <w:p w:rsidR="00000000" w:rsidDel="00000000" w:rsidP="00000000" w:rsidRDefault="00000000" w:rsidRPr="00000000" w14:paraId="00000021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Team &amp; business model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Founding team overview and relevant experience: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8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founder and key team names, roles and years of experience]</w:t>
            </w:r>
          </w:p>
          <w:p>
            <w:pPr>
              <w:spacing w:before="80"/>
            </w:pPr>
            <w:r>
              <w:rPr>
                <w:sz w:val="20"/>
              </w:rPr>
              <w:t>Summit Surds Limited is committing its own capital and technical team alongside this raise (KES 89.6M / ~US$515K in cash and in-kind). The platform has been in development since 2021, and the technical team has built the full stack in production: forecourt controller (FDC) and ATG integrations, multi-tenant KRA eTIMS fiscalization, M-Pesa/card/cash payment flows, POS integrations and executive reporting.</w:t>
            </w:r>
          </w:p>
        </w:tc>
      </w:tr>
    </w:tbl>
    <w:p w:rsidR="00000000" w:rsidDel="00000000" w:rsidP="00000000" w:rsidRDefault="00000000" w:rsidRPr="00000000" w14:paraId="00000024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Value proposition and target customer: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Target customer: independent and dealer-operated fuel station owners in Kenya — a market of 12,000+ stations of which fewer than 1,000 are automated. The addressable segment is 5,000–10,000 stations. Multi-site operators (companies with several branches) are a priority, because the platform is built multi-company, multi-branch and multi-station.</w:t>
            </w:r>
          </w:p>
          <w:p>
            <w:pPr>
              <w:spacing w:before="80"/>
            </w:pPr>
            <w:r>
              <w:rPr>
                <w:sz w:val="20"/>
              </w:rPr>
              <w:t>Value proposition: stations lose an estimated ~300 L per month to shrinkage (≈ KES 774,000 / US$5,981 per station per year at ~KES 215/L). Octane Obit makes that loss visible and attributable to a shift and an attendant as it happens, and it automates the M-Pesa/eTIMS/bank reconciliation that is done by hand today. The per-station setup cost (~KES 600K / US$4,640) typically pays back in under 12 months.</w:t>
            </w:r>
          </w:p>
        </w:tc>
      </w:tr>
    </w:tbl>
    <w:p w:rsidR="00000000" w:rsidDel="00000000" w:rsidP="00000000" w:rsidRDefault="00000000" w:rsidRPr="00000000" w14:paraId="00000026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Competitive advantage / defensibility: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spacing w:after="6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Please name any existing competitors or alternatives station owners currently use.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Defensibility:</w:t>
            </w:r>
          </w:p>
          <w:p>
            <w:pPr>
              <w:spacing w:before="80"/>
            </w:pPr>
            <w:r>
              <w:rPr>
                <w:sz w:val="20"/>
              </w:rPr>
              <w:t>• End-to-end reconciliation: delivery → tank → pump → sale → cash/bank in a single engine. Most alternatives cover only POS or only fiscalization.</w:t>
            </w:r>
          </w:p>
          <w:p>
            <w:pPr>
              <w:spacing w:before="80"/>
            </w:pPr>
            <w:r>
              <w:rPr>
                <w:sz w:val="20"/>
              </w:rPr>
              <w:t>• KRA eTIMS fiscalization built in, so compliance is the hook that gets us into the station.</w:t>
            </w:r>
          </w:p>
          <w:p>
            <w:pPr>
              <w:spacing w:before="80"/>
            </w:pPr>
            <w:r>
              <w:rPr>
                <w:sz w:val="20"/>
              </w:rPr>
              <w:t>• Deep hardware integrations (forecourt controllers, ATG probes, flow meters) that are costly to replicate, plus switching costs once a station's shift and stock history lives on the platform.</w:t>
            </w:r>
          </w:p>
          <w:p>
            <w:pPr>
              <w:spacing w:before="80"/>
            </w:pPr>
            <w:r>
              <w:rPr>
                <w:sz w:val="20"/>
              </w:rPr>
              <w:t>• A hardware-plus-financing bundle that removes the upfront-capital barrier competitors leave in place.</w:t>
            </w:r>
          </w:p>
          <w:p>
            <w:pPr>
              <w:spacing w:before="80"/>
            </w:pPr>
            <w:r>
              <w:rPr>
                <w:sz w:val="20"/>
              </w:rPr>
              <w:t xml:space="preserve">Current alternatives: paper delivery notes and pump-reading books; Excel spreadsheets; standalone eTIMS/ETR devices; generic retail POS systems; and forecourt software vendors such as Pesapal's Forecourt Management Solution and Codelab Kenya's petrol station software. Branded OMC networks often run in-house systems. </w:t>
            </w:r>
            <w:r>
              <w:rPr>
                <w:i/>
                <w:sz w:val="20"/>
                <w:highlight w:val="yellow"/>
              </w:rPr>
              <w:t>[TO CONFIRM: add or remove named competitors as you see fit]</w:t>
            </w:r>
          </w:p>
        </w:tc>
      </w:tr>
    </w:tbl>
    <w:p w:rsidR="00000000" w:rsidDel="00000000" w:rsidP="00000000" w:rsidRDefault="00000000" w:rsidRPr="00000000" w14:paraId="0000002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Route to profitability: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Revenue per station comes from a SaaS subscription of KES 25,000–30,000 (US$193–232) per month, plus 0.3% on processed transactions, hardware installation and maintenance margin, and insurance referral commissions.</w:t>
            </w:r>
          </w:p>
          <w:p>
            <w:pPr>
              <w:spacing w:before="80"/>
            </w:pPr>
            <w:r>
              <w:rPr>
                <w:sz w:val="20"/>
              </w:rPr>
              <w:t>Subscriptions alone: 100 stations (Year One target) ≈ US$232K–278K ARR; the 5,000–10,000-station addressable market ≈ US$12.7M–25.5M ARR.</w:t>
            </w:r>
          </w:p>
          <w:p>
            <w:pPr>
              <w:spacing w:before="80"/>
            </w:pPr>
            <w:r>
              <w:rPr>
                <w:sz w:val="20"/>
              </w:rPr>
              <w:t>Per-station hardware and setup (~US$4,640) pays back in under 12 months through recovered shrinkage plus subscription, which keeps unit economics positive from year one of each station.</w:t>
            </w:r>
          </w:p>
          <w:p>
            <w:pPr>
              <w:spacing w:before="80"/>
            </w:pPr>
            <w:r>
              <w:rPr>
                <w:i/>
                <w:sz w:val="20"/>
                <w:highlight w:val="yellow"/>
              </w:rPr>
              <w:t>[TO CONFIRM: station count / month at which the company breaks even, based on your cost base]</w:t>
            </w:r>
          </w:p>
        </w:tc>
      </w:tr>
    </w:tbl>
    <w:p w:rsidR="00000000" w:rsidDel="00000000" w:rsidP="00000000" w:rsidRDefault="00000000" w:rsidRPr="00000000" w14:paraId="0000002B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Financials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Are three-year financial projections available (revenue, profitability, cash flow and key assumptions)?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>☐ Yes      ☒ No</w:t>
      </w:r>
      <w:r w:rsidDel="00000000" w:rsidR="00000000" w:rsidRPr="00000000">
        <w:rPr>
          <w:rtl w:val="0"/>
        </w:rPr>
      </w:r>
      <w:r>
        <w:rPr>
          <w:sz w:val="20"/>
        </w:rPr>
        <w:t xml:space="preserve">   </w:t>
      </w:r>
      <w:r>
        <w:rPr>
          <w:i/>
          <w:sz w:val="20"/>
          <w:highlight w:val="yellow"/>
        </w:rPr>
        <w:t>[TO CONFIRM: tick Yes if a 3-year model exists]</w:t>
      </w:r>
    </w:p>
    <w:p w:rsidR="00000000" w:rsidDel="00000000" w:rsidP="00000000" w:rsidRDefault="00000000" w:rsidRPr="00000000" w14:paraId="0000002E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assumptions underpinning the projections: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Market-sizing assumptions used in the deck:</w:t>
            </w:r>
          </w:p>
          <w:p>
            <w:pPr>
              <w:spacing w:before="80"/>
            </w:pPr>
            <w:r>
              <w:rPr>
                <w:sz w:val="20"/>
              </w:rPr>
              <w:t>• ~300 L shrinkage per station per month; blended pump price ~KES 215/L.</w:t>
            </w:r>
          </w:p>
          <w:p>
            <w:pPr>
              <w:spacing w:before="80"/>
            </w:pPr>
            <w:r>
              <w:rPr>
                <w:sz w:val="20"/>
              </w:rPr>
              <w:t>• Subscription KES 25,000–30,000 per station per month; 0.3% transaction fee; device and setup cost ~KES 600K (US$4,640) per station; payback under 12 months.</w:t>
            </w:r>
          </w:p>
          <w:p>
            <w:pPr>
              <w:spacing w:before="80"/>
            </w:pPr>
            <w:r>
              <w:rPr>
                <w:sz w:val="20"/>
              </w:rPr>
              <w:t>• Rollout: ~10 stations per month onboarded → 30 stations in 120 days → 100 stations in Year One, supported by the 50+ station waitlist.</w:t>
            </w:r>
          </w:p>
          <w:p>
            <w:pPr>
              <w:spacing w:before="80"/>
            </w:pPr>
            <w:r>
              <w:rPr>
                <w:sz w:val="20"/>
              </w:rPr>
              <w:t>• FX used: ~KES 129.4 per US$.</w:t>
            </w:r>
          </w:p>
          <w:p>
            <w:pPr>
              <w:spacing w:before="80"/>
            </w:pPr>
            <w:r>
              <w:rPr>
                <w:i/>
                <w:sz w:val="20"/>
                <w:highlight w:val="yellow"/>
              </w:rPr>
              <w:t>[TO CONFIRM: churn, payment-volume per station, staffing and opex assumptions once the 3-year model is built]</w:t>
            </w:r>
          </w:p>
        </w:tc>
      </w:tr>
    </w:tbl>
    <w:p w:rsidR="00000000" w:rsidDel="00000000" w:rsidP="00000000" w:rsidRDefault="00000000" w:rsidRPr="00000000" w14:paraId="00000030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Current financial status: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>☐ Pre-revenue      ☒ Revenue-generating, not yet profitable      ☐ Profitable</w:t>
      </w:r>
      <w:r w:rsidDel="00000000" w:rsidR="00000000" w:rsidRPr="00000000">
        <w:rPr>
          <w:rtl w:val="0"/>
        </w:rPr>
      </w:r>
      <w:r>
        <w:rPr>
          <w:sz w:val="20"/>
        </w:rPr>
        <w:t xml:space="preserve">   </w:t>
      </w:r>
      <w:r>
        <w:rPr>
          <w:i/>
          <w:sz w:val="20"/>
          <w:highlight w:val="yellow"/>
        </w:rPr>
        <w:t>[TO CONFIRM: change to Pre-revenue if the pilot is not billed]</w:t>
      </w:r>
    </w:p>
    <w:p w:rsidR="00000000" w:rsidDel="00000000" w:rsidP="00000000" w:rsidRDefault="00000000" w:rsidRPr="00000000" w14:paraId="00000032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Funding ask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Amount being raised: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Total US$1.5M–6M in two tranches:</w:t>
            </w:r>
          </w:p>
          <w:p>
            <w:pPr>
              <w:spacing w:before="80"/>
            </w:pPr>
            <w:r>
              <w:rPr>
                <w:sz w:val="20"/>
              </w:rPr>
              <w:t>• Tranche 1 — Implementation: US$500K–1M (≈ KES 64.7M–129.4M)</w:t>
            </w:r>
          </w:p>
          <w:p>
            <w:pPr>
              <w:spacing w:before="80"/>
            </w:pPr>
            <w:r>
              <w:rPr>
                <w:sz w:val="20"/>
              </w:rPr>
              <w:t>• Tranche 2 — Lending Module, sustainability &amp; development: US$1M–5M (≈ KES 129.4M–647M)</w:t>
            </w:r>
          </w:p>
          <w:p>
            <w:pPr>
              <w:spacing w:before="80"/>
            </w:pPr>
            <w:r>
              <w:rPr>
                <w:sz w:val="20"/>
              </w:rPr>
              <w:t>Summit Surds is committing KES 89.6M (~US$515K) of its own cash and in-kind capital alongside this raise.</w:t>
            </w:r>
          </w:p>
        </w:tc>
      </w:tr>
    </w:tbl>
    <w:p w:rsidR="00000000" w:rsidDel="00000000" w:rsidP="00000000" w:rsidRDefault="00000000" w:rsidRPr="00000000" w14:paraId="00000035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19.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Intended use of funds: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Tranche 1: hardware (ATG probes, flow meters, POS), installation, station onboarding and staff training, and working capital to get the first wave of stations live and reconciling (30 stations in 120 days).</w:t>
            </w:r>
          </w:p>
          <w:p>
            <w:pPr>
              <w:spacing w:before="80"/>
            </w:pPr>
            <w:r>
              <w:rPr>
                <w:sz w:val="20"/>
              </w:rPr>
              <w:t>Tranche 2: capitalising the hardware-financing Lending Module (so stations get devices without upfront capital), continued platform development, long-term operational sustainability, and regional expansion starting with Zambia.</w:t>
            </w:r>
          </w:p>
        </w:tc>
      </w:tr>
    </w:tbl>
    <w:p w:rsidR="00000000" w:rsidDel="00000000" w:rsidP="00000000" w:rsidRDefault="00000000" w:rsidRPr="00000000" w14:paraId="00000037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20.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Key milestones this investment will help the business achieve: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• Days 1–30: hardware procured; install queue and onboarding sequence locked with first-wave stations.</w:t>
            </w:r>
          </w:p>
          <w:p>
            <w:pPr>
              <w:spacing w:before="80"/>
            </w:pPr>
            <w:r>
              <w:rPr>
                <w:sz w:val="20"/>
              </w:rPr>
              <w:t>• Days 31–90: phased onboarding at ~10 stations per month.</w:t>
            </w:r>
          </w:p>
          <w:p>
            <w:pPr>
              <w:spacing w:before="80"/>
            </w:pPr>
            <w:r>
              <w:rPr>
                <w:sz w:val="20"/>
              </w:rPr>
              <w:t>• Day 120: 30 stations live and reconciling; loss-recovery case studies packaged.</w:t>
            </w:r>
          </w:p>
          <w:p>
            <w:pPr>
              <w:spacing w:before="80"/>
            </w:pPr>
            <w:r>
              <w:rPr>
                <w:sz w:val="20"/>
              </w:rPr>
              <w:t>• Year One: 100 stations live.</w:t>
            </w:r>
          </w:p>
          <w:p>
            <w:pPr>
              <w:spacing w:before="80"/>
            </w:pPr>
            <w:r>
              <w:rPr>
                <w:sz w:val="20"/>
              </w:rPr>
              <w:t>• Lending Module capitalised for regional rollout, starting with Zambia.</w:t>
            </w:r>
          </w:p>
        </w:tc>
      </w:tr>
    </w:tbl>
    <w:p w:rsidR="00000000" w:rsidDel="00000000" w:rsidP="00000000" w:rsidRDefault="00000000" w:rsidRPr="00000000" w14:paraId="00000039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Documentation checklist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Documents ready for submission: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☒  </w:t>
      </w:r>
      <w:r w:rsidDel="00000000" w:rsidR="00000000" w:rsidRPr="00000000">
        <w:rPr>
          <w:sz w:val="20"/>
          <w:szCs w:val="20"/>
          <w:rtl w:val="0"/>
        </w:rPr>
        <w:t xml:space="preserve">Investor pitch deck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Three-year financial projections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☒  </w:t>
      </w:r>
      <w:r w:rsidDel="00000000" w:rsidR="00000000" w:rsidRPr="00000000">
        <w:rPr>
          <w:sz w:val="20"/>
          <w:szCs w:val="20"/>
          <w:rtl w:val="0"/>
        </w:rPr>
        <w:t xml:space="preserve">Use-of-funds &amp; milestones summary</w:t>
      </w:r>
      <w:r w:rsidDel="00000000" w:rsidR="00000000" w:rsidRPr="00000000">
        <w:rPr>
          <w:rtl w:val="0"/>
        </w:rPr>
      </w:r>
      <w:r>
        <w:rPr>
          <w:sz w:val="20"/>
        </w:rPr>
        <w:t xml:space="preserve">   </w:t>
      </w:r>
      <w:r>
        <w:rPr>
          <w:i/>
          <w:sz w:val="20"/>
          <w:highlight w:val="yellow"/>
        </w:rPr>
        <w:t>[TO CONFIRM: high-level version is in the deck; untick if a separate document is expected]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spacing w:after="80" w:before="2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32"/>
          <w:szCs w:val="32"/>
          <w:rtl w:val="0"/>
        </w:rPr>
        <w:t xml:space="preserve">Part B — Supplementary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6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Specific to the Octane Obit raise. Numbering continues from Part 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B1. Funding structure &amp; terms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For each tranche, what type of capital are you seeking?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7438"/>
        <w:tblGridChange w:id="0">
          <w:tblGrid>
            <w:gridCol w:w="2200"/>
            <w:gridCol w:w="7438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1f2a4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Instrument (equity / debt / convertible / grant / open) and key terms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Tranche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>☐ Equity   ☐ Debt   ☐ Convertible   ☐ Grant   ☒ Open to discussion</w:t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20"/>
              </w:rPr>
              <w:t xml:space="preserve">Preference: </w:t>
            </w:r>
            <w:r>
              <w:rPr>
                <w:i/>
                <w:sz w:val="20"/>
                <w:highlight w:val="yellow"/>
              </w:rPr>
              <w:t>[TO CONFIRM: equity, debt, or a mix]</w:t>
            </w:r>
            <w:r>
              <w:rPr>
                <w:sz w:val="20"/>
              </w:rPr>
              <w:t>. Hardware and installation have &lt;12-month per-station payback, which suits debt or asset finance, while onboarding/working capital suits equity.</w:t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2f4f7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b w:val="1"/>
                <w:bCs w:val="1"/>
                <w:color w:val="1f2a44"/>
                <w:sz w:val="20"/>
                <w:szCs w:val="20"/>
                <w:rtl w:val="0"/>
              </w:rPr>
              <w:t xml:space="preserve">Tranche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>☐ Equity   ☐ Debt   ☐ Convertible   ☐ Grant   ☒ Open to discussion</w:t>
            </w:r>
            <w:r w:rsidDel="00000000" w:rsidR="00000000" w:rsidRPr="00000000">
              <w:rPr>
                <w:rtl w:val="0"/>
              </w:rPr>
            </w:r>
          </w:p>
          <w:p>
            <w:r>
              <w:rPr>
                <w:sz w:val="20"/>
              </w:rPr>
              <w:t xml:space="preserve">Lending capital is best suited to debt / blended finance (e.g. DFI or impact lender), with development and expansion funding open to equity or grant. </w:t>
            </w:r>
            <w:r>
              <w:rPr>
                <w:i/>
                <w:sz w:val="20"/>
                <w:highlight w:val="yellow"/>
              </w:rPr>
              <w:t>[TO CONFIRM: confirm]</w:t>
            </w:r>
          </w:p>
        </w:tc>
      </w:tr>
    </w:tbl>
    <w:p w:rsidR="00000000" w:rsidDel="00000000" w:rsidP="00000000" w:rsidRDefault="00000000" w:rsidRPr="00000000" w14:paraId="0000004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equity: what pre-money valuation are you proposing, and what percentage stake is on offer? How was the valuation arrived at?</w:t>
      </w:r>
      <w:r w:rsidDel="00000000" w:rsidR="00000000" w:rsidRPr="00000000">
        <w:rPr>
          <w:rtl w:val="0"/>
        </w:rPr>
      </w:r>
    </w:p>
    <w:tbl>
      <w:tblPr>
        <w:tblStyle w:val="Table1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No valuation has been set yet; we are open to discussion. </w:t>
            </w:r>
            <w:r>
              <w:rPr>
                <w:i/>
                <w:sz w:val="20"/>
                <w:highlight w:val="yellow"/>
              </w:rPr>
              <w:t>[TO CONFIRM: proposed pre-money valuation, stake on offer and method (e.g. revenue multiple, comparables), if you have one]</w:t>
            </w:r>
          </w:p>
        </w:tc>
      </w:tr>
    </w:tbl>
    <w:p w:rsidR="00000000" w:rsidDel="00000000" w:rsidP="00000000" w:rsidRDefault="00000000" w:rsidRPr="00000000" w14:paraId="0000004B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debt: what loan amount, term, interest rate and repayment schedule are you proposing?</w:t>
      </w:r>
      <w:r w:rsidDel="00000000" w:rsidR="00000000" w:rsidRPr="00000000">
        <w:rPr>
          <w:rtl w:val="0"/>
        </w:rPr>
      </w:r>
    </w:p>
    <w:tbl>
      <w:tblPr>
        <w:tblStyle w:val="Table1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No fixed debt terms have been proposed yet. As an indication only: per-station payback under 12 months would support a 24–36 month facility with a grace period covering the 120-day rollout, repaid from subscription and hardware-financing collections. </w:t>
            </w:r>
            <w:r>
              <w:rPr>
                <w:i/>
                <w:sz w:val="20"/>
                <w:highlight w:val="yellow"/>
              </w:rPr>
              <w:t>[TO CONFIRM: preferred amount, rate and schedule]</w:t>
            </w:r>
          </w:p>
        </w:tc>
      </w:tr>
    </w:tbl>
    <w:p w:rsidR="00000000" w:rsidDel="00000000" w:rsidP="00000000" w:rsidRDefault="00000000" w:rsidRPr="00000000" w14:paraId="0000004D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explain how the Lending Module (Tranche 2) would work in practice: who borrows, on what terms, how repayments are collected, and who would fund it (e.g. investor, lender, development finance institution).</w:t>
      </w:r>
      <w:r w:rsidDel="00000000" w:rsidR="00000000" w:rsidRPr="00000000">
        <w:rPr>
          <w:rtl w:val="0"/>
        </w:rPr>
      </w:r>
    </w:p>
    <w:tbl>
      <w:tblPr>
        <w:tblStyle w:val="Table1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Proposed structure </w:t>
            </w:r>
            <w:r>
              <w:rPr>
                <w:i/>
                <w:sz w:val="20"/>
                <w:highlight w:val="yellow"/>
              </w:rPr>
              <w:t>[TO CONFIRM: confirm each point]</w:t>
            </w:r>
            <w:r>
              <w:rPr>
                <w:sz w:val="20"/>
              </w:rPr>
              <w:t>:</w:t>
            </w:r>
          </w:p>
          <w:p>
            <w:pPr>
              <w:spacing w:before="80"/>
            </w:pPr>
            <w:r>
              <w:rPr>
                <w:sz w:val="20"/>
              </w:rPr>
              <w:t>• Borrower: the station owner/operator. The loan covers the Octane Obit device and installation package (~KES 600K / US$4,640 per station).</w:t>
            </w:r>
          </w:p>
          <w:p>
            <w:pPr>
              <w:spacing w:before="80"/>
            </w:pPr>
            <w:r>
              <w:rPr>
                <w:sz w:val="20"/>
              </w:rPr>
              <w:t xml:space="preserve">• Terms: repaid in monthly instalments over </w:t>
            </w:r>
            <w:r>
              <w:rPr>
                <w:i/>
                <w:sz w:val="20"/>
                <w:highlight w:val="yellow"/>
              </w:rPr>
              <w:t>[TO CONFIRM: 12–24]</w:t>
            </w:r>
            <w:r>
              <w:rPr>
                <w:sz w:val="20"/>
              </w:rPr>
              <w:t xml:space="preserve"> months, bundled with the subscription. Recovered shrinkage (~KES 64,500/month per station) is expected to exceed the instalment.</w:t>
            </w:r>
          </w:p>
          <w:p>
            <w:pPr>
              <w:spacing w:before="80"/>
            </w:pPr>
            <w:r>
              <w:rPr>
                <w:sz w:val="20"/>
              </w:rPr>
              <w:t>• Collection: repayments are collected through the platform's payment flows (deduction from processed transactions and/or M-Pesa standing payment). Octane Obit can restrict platform features remotely if a station goes into arrears.</w:t>
            </w:r>
          </w:p>
          <w:p>
            <w:pPr>
              <w:spacing w:before="80"/>
            </w:pPr>
            <w:r>
              <w:rPr>
                <w:sz w:val="20"/>
              </w:rPr>
              <w:t>• Funding: Tranche 2 capital from the investor, a lender or a DFI. Capital recycles into new stations as loans are repaid.</w:t>
            </w:r>
          </w:p>
          <w:p>
            <w:pPr>
              <w:spacing w:before="80"/>
            </w:pPr>
            <w:r>
              <w:rPr>
                <w:sz w:val="20"/>
              </w:rPr>
              <w:t>• Licensing: see Q32.</w:t>
            </w:r>
          </w:p>
        </w:tc>
      </w:tr>
    </w:tbl>
    <w:p w:rsidR="00000000" w:rsidDel="00000000" w:rsidP="00000000" w:rsidRDefault="00000000" w:rsidRPr="00000000" w14:paraId="0000004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provide a breakdown of Tranche 1 by category (hardware, installation, staff, working capital, other), with approximate amounts.</w:t>
      </w:r>
      <w:r w:rsidDel="00000000" w:rsidR="00000000" w:rsidRPr="00000000">
        <w:rPr>
          <w:rtl w:val="0"/>
        </w:rPr>
      </w:r>
    </w:p>
    <w:tbl>
      <w:tblPr>
        <w:tblStyle w:val="Table2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44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Indicative breakdown for the first 30 stations, based on ~US$4,640 (KES 600K) device + setup per station </w:t>
            </w:r>
            <w:r>
              <w:rPr>
                <w:i/>
                <w:sz w:val="20"/>
                <w:highlight w:val="yellow"/>
              </w:rPr>
              <w:t>[TO CONFIRM: replace with actual budget]</w:t>
            </w:r>
            <w:r>
              <w:rPr>
                <w:sz w:val="20"/>
              </w:rPr>
              <w:t>:</w:t>
            </w:r>
          </w:p>
          <w:p>
            <w:pPr>
              <w:spacing w:before="80"/>
            </w:pPr>
            <w:r>
              <w:rPr>
                <w:sz w:val="20"/>
              </w:rPr>
              <w:t>• Hardware + installation (30 stations): ≈ US$139K (KES 18M)</w:t>
            </w:r>
          </w:p>
          <w:p>
            <w:pPr>
              <w:spacing w:before="80"/>
            </w:pPr>
            <w:r>
              <w:rPr>
                <w:sz w:val="20"/>
              </w:rPr>
              <w:t xml:space="preserve">• Onboarding, training and field staff: </w:t>
            </w:r>
            <w:r>
              <w:rPr>
                <w:i/>
                <w:sz w:val="20"/>
                <w:highlight w:val="yellow"/>
              </w:rPr>
              <w:t>[TO CONFIRM: amount]</w:t>
            </w:r>
          </w:p>
          <w:p>
            <w:pPr>
              <w:spacing w:before="80"/>
            </w:pPr>
            <w:r>
              <w:rPr>
                <w:sz w:val="20"/>
              </w:rPr>
              <w:t xml:space="preserve">• Working capital and operations (120 days): </w:t>
            </w:r>
            <w:r>
              <w:rPr>
                <w:i/>
                <w:sz w:val="20"/>
                <w:highlight w:val="yellow"/>
              </w:rPr>
              <w:t>[TO CONFIRM: amount]</w:t>
            </w:r>
          </w:p>
          <w:p>
            <w:pPr>
              <w:spacing w:before="80"/>
            </w:pPr>
            <w:r>
              <w:rPr>
                <w:sz w:val="20"/>
              </w:rPr>
              <w:t xml:space="preserve">• Other (contingency, logistics, spares): </w:t>
            </w:r>
            <w:r>
              <w:rPr>
                <w:i/>
                <w:sz w:val="20"/>
                <w:highlight w:val="yellow"/>
              </w:rPr>
              <w:t>[TO CONFIRM: amount]</w:t>
            </w:r>
          </w:p>
          <w:p>
            <w:pPr>
              <w:spacing w:before="80"/>
            </w:pPr>
            <w:r>
              <w:rPr>
                <w:sz w:val="20"/>
              </w:rPr>
              <w:t>Note: at the upper end of Tranche 1, hardware for the full 100-station Year One target is ≈ US$464K.</w:t>
            </w:r>
          </w:p>
        </w:tc>
      </w:tr>
    </w:tbl>
    <w:p w:rsidR="00000000" w:rsidDel="00000000" w:rsidP="00000000" w:rsidRDefault="00000000" w:rsidRPr="00000000" w14:paraId="00000051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B2. Security &amp; guarantees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Is there any guarantor, collateral or credit enhancement available to support the raise (e.g. corporate or director guarantee, partial credit guarantee, asset security)?</w:t>
      </w:r>
      <w:r w:rsidDel="00000000" w:rsidR="00000000" w:rsidRPr="00000000">
        <w:rPr>
          <w:rtl w:val="0"/>
        </w:rPr>
      </w:r>
    </w:p>
    <w:tbl>
      <w:tblPr>
        <w:tblStyle w:val="Table2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Summit Surds is committing KES 89.6M (~US$515K) of its own cash and in-kind capital alongside the raise. Financed hardware (ATG probes, flow meters, POS) is a recoverable asset that can serve as security. </w:t>
            </w:r>
            <w:r>
              <w:rPr>
                <w:i/>
                <w:sz w:val="20"/>
                <w:highlight w:val="yellow"/>
              </w:rPr>
              <w:t>[TO CONFIRM: director or corporate guarantee, or other collateral available?]</w:t>
            </w:r>
          </w:p>
        </w:tc>
      </w:tr>
    </w:tbl>
    <w:p w:rsidR="00000000" w:rsidDel="00000000" w:rsidP="00000000" w:rsidRDefault="00000000" w:rsidRPr="00000000" w14:paraId="00000054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If a station defaults on hardware financing, how is the loss handled? Can devices be recovered and redeployed?</w:t>
      </w:r>
      <w:r w:rsidDel="00000000" w:rsidR="00000000" w:rsidRPr="00000000">
        <w:rPr>
          <w:rtl w:val="0"/>
        </w:rPr>
      </w:r>
    </w:p>
    <w:tbl>
      <w:tblPr>
        <w:tblStyle w:val="Table2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Devices (ATG probes, flow meters, POS terminals) can be removed and redeployed to another station; the loss is mainly the installation and labour cost. The platform can also restrict access remotely, which gives strong leverage for collection before any repossession. </w:t>
            </w:r>
            <w:r>
              <w:rPr>
                <w:i/>
                <w:sz w:val="20"/>
                <w:highlight w:val="yellow"/>
              </w:rPr>
              <w:t>[TO CONFIRM: recovery process and expected recovery %]</w:t>
            </w:r>
          </w:p>
        </w:tc>
      </w:tr>
    </w:tbl>
    <w:p w:rsidR="00000000" w:rsidDel="00000000" w:rsidP="00000000" w:rsidRDefault="00000000" w:rsidRPr="00000000" w14:paraId="00000056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B3. Ownership &amp; corporate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29.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provide the current shareholding / cap table of Summit Surds Limited.</w:t>
      </w:r>
      <w:r w:rsidDel="00000000" w:rsidR="00000000" w:rsidRPr="00000000">
        <w:rPr>
          <w:rtl w:val="0"/>
        </w:rPr>
      </w:r>
    </w:p>
    <w:tbl>
      <w:tblPr>
        <w:tblStyle w:val="Table2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shareholders of Summit Surds Limited and % holdings]</w:t>
            </w:r>
          </w:p>
        </w:tc>
      </w:tr>
    </w:tbl>
    <w:p w:rsidR="00000000" w:rsidDel="00000000" w:rsidP="00000000" w:rsidRDefault="00000000" w:rsidRPr="00000000" w14:paraId="00000059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30.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What is the relationship between Josprix Solutions Limited and Summit Surds Limited? Who owns the Octane Obit software and IP today, and how was it transferred?</w:t>
      </w:r>
      <w:r w:rsidDel="00000000" w:rsidR="00000000" w:rsidRPr="00000000">
        <w:rPr>
          <w:rtl w:val="0"/>
        </w:rPr>
      </w:r>
    </w:p>
    <w:tbl>
      <w:tblPr>
        <w:tblStyle w:val="Table2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108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The platform's lineage traces to Josprix Solutions Limited (2021); it is now built and commercialised under Summit Surds Limited. </w:t>
            </w:r>
            <w:r>
              <w:rPr>
                <w:i/>
                <w:sz w:val="20"/>
                <w:highlight w:val="yellow"/>
              </w:rPr>
              <w:t>[TO CONFIRM: ownership link between the two companies, current IP owner, and how/when the IP was transferred or licensed (assignment, licence agreement)]</w:t>
            </w:r>
          </w:p>
        </w:tc>
      </w:tr>
    </w:tbl>
    <w:p w:rsidR="00000000" w:rsidDel="00000000" w:rsidP="00000000" w:rsidRDefault="00000000" w:rsidRPr="00000000" w14:paraId="0000005B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B4. Regulatory &amp; licensing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31.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Payment processing (0.3% per transaction): do you hold Central Bank of Kenya authorisation, or operate through a licensed partner? Please specify.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Own licence      ☐ Licensed partner      ☐ Not yet in place</w:t>
      </w:r>
      <w:r w:rsidDel="00000000" w:rsidR="00000000" w:rsidRPr="00000000">
        <w:rPr>
          <w:rtl w:val="0"/>
        </w:rPr>
      </w:r>
    </w:p>
    <w:tbl>
      <w:tblPr>
        <w:tblStyle w:val="Table2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your answer, then tick the box above; if payments run through a partner (e.g. a licensed PSP or M-Pesa paybill aggregator), name it]</w:t>
            </w:r>
          </w:p>
        </w:tc>
      </w:tr>
    </w:tbl>
    <w:p w:rsidR="00000000" w:rsidDel="00000000" w:rsidP="00000000" w:rsidRDefault="00000000" w:rsidRPr="00000000" w14:paraId="0000005F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32.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Lending Module: do you hold (or plan to apply for) a CBK Digital Credit Provider licence, or will lending run through a licensed partner?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Own licence      ☐ Licensed partner      ☐ Not yet in place</w:t>
      </w:r>
      <w:r w:rsidDel="00000000" w:rsidR="00000000" w:rsidRPr="00000000">
        <w:rPr>
          <w:rtl w:val="0"/>
        </w:rPr>
      </w:r>
    </w:p>
    <w:tbl>
      <w:tblPr>
        <w:tblStyle w:val="Table2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own DCP licence planned, or lending via a licensed partner/bank]</w:t>
            </w:r>
          </w:p>
        </w:tc>
      </w:tr>
    </w:tbl>
    <w:p w:rsidR="00000000" w:rsidDel="00000000" w:rsidP="00000000" w:rsidRDefault="00000000" w:rsidRPr="00000000" w14:paraId="00000062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33.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Insurance commissions: are you registered with the Insurance Regulatory Authority, or referring through a licensed intermediary?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80" w:lineRule="auto"/>
        <w:rPr/>
      </w:pPr>
      <w:r w:rsidDel="00000000" w:rsidR="00000000" w:rsidRPr="00000000">
        <w:rPr>
          <w:sz w:val="20"/>
          <w:szCs w:val="20"/>
          <w:rtl w:val="0"/>
        </w:rPr>
        <w:t xml:space="preserve">☐ Own registration      ☐ Licensed partner      ☐ Not yet in place</w:t>
      </w:r>
      <w:r w:rsidDel="00000000" w:rsidR="00000000" w:rsidRPr="00000000">
        <w:rPr>
          <w:rtl w:val="0"/>
        </w:rPr>
      </w:r>
    </w:p>
    <w:tbl>
      <w:tblPr>
        <w:tblStyle w:val="Table2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registered, via a licensed insurance agent/broker, or not yet in place]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34.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KRA eTIMS: what is the status of your eTIMS integration (e.g. approved integrator, in certification, via a third party)?</w:t>
      </w:r>
      <w:r w:rsidDel="00000000" w:rsidR="00000000" w:rsidRPr="00000000">
        <w:rPr>
          <w:rtl w:val="0"/>
        </w:rPr>
      </w:r>
    </w:p>
    <w:tbl>
      <w:tblPr>
        <w:tblStyle w:val="Table2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72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 xml:space="preserve">Live in production: fiscalization is automated for every transaction at the pilot station, including multi-tenant automated fiscalization and shift closing, with integration to the POS for ETR receipt printing. </w:t>
            </w:r>
            <w:r>
              <w:rPr>
                <w:i/>
                <w:sz w:val="20"/>
                <w:highlight w:val="yellow"/>
              </w:rPr>
              <w:t>[TO CONFIRM: route: own KRA-approved integration (OSCU/VSCU), in certification, or through a third-party integrator such as Crystal POS]</w:t>
            </w:r>
          </w:p>
        </w:tc>
      </w:tr>
    </w:tbl>
    <w:p w:rsidR="00000000" w:rsidDel="00000000" w:rsidP="00000000" w:rsidRDefault="00000000" w:rsidRPr="00000000" w14:paraId="00000067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B5. Additional documents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35.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Please indicate which of the following you can share: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☒  </w:t>
      </w:r>
      <w:r w:rsidDel="00000000" w:rsidR="00000000" w:rsidRPr="00000000">
        <w:rPr>
          <w:sz w:val="20"/>
          <w:szCs w:val="20"/>
          <w:rtl w:val="0"/>
        </w:rPr>
        <w:t xml:space="preserve">Certificate of incorporation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Cap table / shareholding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Historical financial statements or management accounts (if any)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Detailed use-of-funds breakdown per tranche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☒  </w:t>
      </w:r>
      <w:r w:rsidDel="00000000" w:rsidR="00000000" w:rsidRPr="00000000">
        <w:rPr>
          <w:sz w:val="20"/>
          <w:szCs w:val="20"/>
          <w:rtl w:val="0"/>
        </w:rPr>
        <w:t xml:space="preserve">Pilot station data or case study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Signed LOIs / MOUs from waitlisted stations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IP assignment or agreement between Josprix Solutions and Summit Surds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Copies of relevant licences, or partner agreements (payments, lending, insurance)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☒  </w:t>
      </w:r>
      <w:r w:rsidDel="00000000" w:rsidR="00000000" w:rsidRPr="00000000">
        <w:rPr>
          <w:sz w:val="20"/>
          <w:szCs w:val="20"/>
          <w:rtl w:val="0"/>
        </w:rPr>
        <w:t xml:space="preserve">Netherlands Embassy grant application or correspondence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60" w:lineRule="auto"/>
        <w:rPr/>
      </w:pPr>
      <w:r w:rsidDel="00000000" w:rsidR="00000000" w:rsidRPr="00000000">
        <w:rPr>
          <w:sz w:val="22"/>
          <w:szCs w:val="22"/>
          <w:rtl w:val="0"/>
        </w:rPr>
        <w:t xml:space="preserve">☐  </w:t>
      </w:r>
      <w:r w:rsidDel="00000000" w:rsidR="00000000" w:rsidRPr="00000000">
        <w:rPr>
          <w:sz w:val="20"/>
          <w:szCs w:val="20"/>
          <w:rtl w:val="0"/>
        </w:rPr>
        <w:t xml:space="preserve">Team CVs / bios</w:t>
      </w:r>
      <w:r w:rsidDel="00000000" w:rsidR="00000000" w:rsidRPr="00000000">
        <w:rPr>
          <w:rtl w:val="0"/>
        </w:rPr>
      </w:r>
      <w:r>
        <w:rPr>
          <w:sz w:val="20"/>
        </w:rPr>
        <w:t xml:space="preserve">   </w:t>
      </w:r>
      <w:r>
        <w:rPr>
          <w:i/>
          <w:sz w:val="20"/>
          <w:highlight w:val="yellow"/>
        </w:rPr>
        <w:t>[TO CONFIRM: tick any others you can share]</w:t>
      </w:r>
    </w:p>
    <w:p w:rsidR="00000000" w:rsidDel="00000000" w:rsidP="00000000" w:rsidRDefault="00000000" w:rsidRPr="00000000" w14:paraId="00000073">
      <w:pPr>
        <w:pStyle w:val="Heading2"/>
        <w:pBdr>
          <w:bottom w:color="b08d57" w:space="4" w:sz="8" w:val="single"/>
        </w:pBdr>
        <w:spacing w:after="120" w:before="32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f2a44"/>
          <w:sz w:val="26"/>
          <w:szCs w:val="26"/>
          <w:rtl w:val="0"/>
        </w:rPr>
        <w:t xml:space="preserve">Completed by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36.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Name and role:</w:t>
      </w:r>
      <w:r w:rsidDel="00000000" w:rsidR="00000000" w:rsidRPr="00000000">
        <w:rPr>
          <w:rtl w:val="0"/>
        </w:rPr>
      </w:r>
    </w:p>
    <w:tbl>
      <w:tblPr>
        <w:tblStyle w:val="Table2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name and role]</w:t>
            </w:r>
          </w:p>
        </w:tc>
      </w:tr>
    </w:tbl>
    <w:p w:rsidR="00000000" w:rsidDel="00000000" w:rsidP="00000000" w:rsidRDefault="00000000" w:rsidRPr="00000000" w14:paraId="00000076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37.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Email and phone:</w:t>
      </w:r>
      <w:r w:rsidDel="00000000" w:rsidR="00000000" w:rsidRPr="00000000">
        <w:rPr>
          <w:rtl w:val="0"/>
        </w:rPr>
      </w:r>
    </w:p>
    <w:tbl>
      <w:tblPr>
        <w:tblStyle w:val="Table3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i/>
                <w:sz w:val="20"/>
                <w:highlight w:val="yellow"/>
              </w:rPr>
              <w:t>[TO CONFIRM: email and phone]</w:t>
            </w:r>
          </w:p>
        </w:tc>
      </w:tr>
    </w:tbl>
    <w:p w:rsidR="00000000" w:rsidDel="00000000" w:rsidP="00000000" w:rsidRDefault="00000000" w:rsidRPr="00000000" w14:paraId="00000078">
      <w:pPr>
        <w:keepNext w:val="1"/>
        <w:spacing w:after="60" w:before="200" w:lineRule="auto"/>
        <w:rPr/>
      </w:pPr>
      <w:r w:rsidDel="00000000" w:rsidR="00000000" w:rsidRPr="00000000">
        <w:rPr>
          <w:b w:val="1"/>
          <w:bCs w:val="1"/>
          <w:color w:val="1f2a44"/>
          <w:sz w:val="21"/>
          <w:szCs w:val="21"/>
          <w:rtl w:val="0"/>
        </w:rPr>
        <w:t xml:space="preserve">38. </w:t>
      </w: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Date:</w:t>
      </w:r>
      <w:r w:rsidDel="00000000" w:rsidR="00000000" w:rsidRPr="00000000">
        <w:rPr>
          <w:rtl w:val="0"/>
        </w:rPr>
      </w:r>
    </w:p>
    <w:tbl>
      <w:tblPr>
        <w:tblStyle w:val="Table3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638"/>
        <w:tblGridChange w:id="0">
          <w:tblGrid>
            <w:gridCol w:w="9638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bfc5cf" w:space="0" w:sz="4" w:val="single"/>
              <w:left w:color="bfc5cf" w:space="0" w:sz="4" w:val="single"/>
              <w:bottom w:color="bfc5cf" w:space="0" w:sz="4" w:val="single"/>
              <w:right w:color="bfc5cf" w:space="0" w:sz="4" w:val="single"/>
            </w:tcBorders>
            <w:shd w:fill="fafbfc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  <w:r>
              <w:rPr>
                <w:sz w:val="20"/>
              </w:rPr>
              <w:t>25 September 2026</w:t>
            </w:r>
          </w:p>
        </w:tc>
      </w:tr>
    </w:tbl>
    <w:p w:rsidR="00000000" w:rsidDel="00000000" w:rsidP="00000000" w:rsidRDefault="00000000" w:rsidRPr="00000000" w14:paraId="0000007A">
      <w:pPr>
        <w:spacing w:before="240" w:lineRule="auto"/>
        <w:rPr/>
      </w:pPr>
      <w:r w:rsidDel="00000000" w:rsidR="00000000" w:rsidRPr="00000000">
        <w:rPr>
          <w:i w:val="1"/>
          <w:iCs w:val="1"/>
          <w:color w:val="666666"/>
          <w:sz w:val="18"/>
          <w:szCs w:val="18"/>
          <w:rtl w:val="0"/>
        </w:rPr>
        <w:t xml:space="preserve">Please return the completed form and supporting documents to info@eig.global. All information will be treated as confidential.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center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info@eig.global   |   Page </w:t>
    </w:r>
    <w:r w:rsidDel="00000000" w:rsidR="00000000" w:rsidRPr="00000000"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right"/>
      <w:rPr/>
    </w:pPr>
    <w:r w:rsidDel="00000000" w:rsidR="00000000" w:rsidRPr="00000000">
      <w:rPr>
        <w:color w:val="666666"/>
        <w:sz w:val="16"/>
        <w:szCs w:val="16"/>
        <w:rtl w:val="0"/>
      </w:rPr>
      <w:t xml:space="preserve">Enigma Investment Group  |  Confidential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1"/>
        <w:szCs w:val="21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1"/>
      <w:szCs w:val="21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1"/>
      <w:szCs w:val="21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M5J/h/WnvZtHC18fNJPkaMnwbA==">CgMxLjA4AHIhMUk0RXY3T3BnbVJSYU90VFRDWHd0clN3QUJuc3IzUUtw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2026-09-24T10:07:01.530Z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