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Bdr>
          <w:bottom w:val="single" w:sz="6" w:space="4" w:color="D6DED8"/>
        </w:pBdr>
      </w:pPr>
      <w:r>
        <w:rPr>
          <w:rFonts w:ascii="Cambria" w:hAnsi="Cambria"/>
          <w:b/>
          <w:color w:val="1A7A3C"/>
          <w:sz w:val="48"/>
        </w:rPr>
        <w:t>Education Extension — Glossary</w:t>
      </w:r>
    </w:p>
    <w:p>
      <w:pPr>
        <w:pStyle w:val="Heading2"/>
      </w:pPr>
      <w:r/>
      <w:r>
        <w:t>Outcome codes</w:t>
      </w:r>
    </w:p>
    <w:p>
      <w:r>
        <w:t>The college's standard legend, as printed on the progress report. QA records one of these against each result.</w:t>
      </w:r>
    </w:p>
    <w:p>
      <w:r>
        <w:t>The third column matters as much as the second: these codes are what the registration system reads to decide what a student may take next semester.</w:t>
      </w:r>
    </w:p>
    <w:tbl>
      <w:tblPr>
        <w:tblStyle w:val="TableGrid"/>
        <w:tblW w:type="auto" w:w="0"/>
        <w:jc w:val="left"/>
        <w:tblLayout w:type="autofit"/>
        <w:tblLook w:firstColumn="1" w:firstRow="1" w:lastColumn="0" w:lastRow="0" w:noHBand="0" w:noVBand="1" w:val="04A0"/>
      </w:tblPr>
      <w:tblGrid>
        <w:gridCol w:w="3024"/>
        <w:gridCol w:w="3024"/>
        <w:gridCol w:w="3024"/>
      </w:tblGrid>
      <w:tr>
        <w:tc>
          <w:tcPr>
            <w:tcW w:type="dxa" w:w="3024"/>
            <w:shd w:val="clear" w:fill="EAF3EC"/>
          </w:tcPr>
          <w:p>
            <w:pPr>
              <w:spacing w:after="60"/>
            </w:pPr>
            <w:r/>
            <w:r>
              <w:rPr>
                <w:b/>
              </w:rPr>
              <w:t>Code</w:t>
            </w:r>
          </w:p>
        </w:tc>
        <w:tc>
          <w:tcPr>
            <w:tcW w:type="dxa" w:w="3024"/>
            <w:shd w:val="clear" w:fill="EAF3EC"/>
          </w:tcPr>
          <w:p>
            <w:pPr>
              <w:spacing w:after="60"/>
            </w:pPr>
            <w:r/>
            <w:r>
              <w:rPr>
                <w:b/>
              </w:rPr>
              <w:t>Meaning</w:t>
            </w:r>
          </w:p>
        </w:tc>
        <w:tc>
          <w:tcPr>
            <w:tcW w:type="dxa" w:w="3024"/>
            <w:shd w:val="clear" w:fill="EAF3EC"/>
          </w:tcPr>
          <w:p>
            <w:pPr>
              <w:spacing w:after="60"/>
            </w:pPr>
            <w:r/>
            <w:r>
              <w:rPr>
                <w:b/>
              </w:rPr>
              <w:t>Effect on registration</w:t>
            </w:r>
          </w:p>
        </w:tc>
      </w:tr>
      <w:tr>
        <w:tc>
          <w:tcPr>
            <w:tcW w:type="dxa" w:w="3024"/>
          </w:tcPr>
          <w:p>
            <w:pPr>
              <w:spacing w:after="60"/>
            </w:pPr>
            <w:r/>
            <w:r>
              <w:rPr>
                <w:b/>
              </w:rPr>
              <w:t>P</w:t>
            </w:r>
          </w:p>
        </w:tc>
        <w:tc>
          <w:tcPr>
            <w:tcW w:type="dxa" w:w="3024"/>
          </w:tcPr>
          <w:p>
            <w:pPr>
              <w:spacing w:after="60"/>
            </w:pPr>
            <w:r/>
            <w:r>
              <w:t>Passed (50–74%)</w:t>
            </w:r>
          </w:p>
        </w:tc>
        <w:tc>
          <w:tcPr>
            <w:tcW w:type="dxa" w:w="3024"/>
          </w:tcPr>
          <w:p>
            <w:pPr>
              <w:spacing w:after="60"/>
            </w:pPr>
            <w:r/>
            <w:r>
              <w:t>Passed — carries the credit and unlocks what follows</w:t>
            </w:r>
          </w:p>
        </w:tc>
      </w:tr>
      <w:tr>
        <w:tc>
          <w:tcPr>
            <w:tcW w:type="dxa" w:w="3024"/>
          </w:tcPr>
          <w:p>
            <w:pPr>
              <w:spacing w:after="60"/>
            </w:pPr>
            <w:r/>
            <w:r>
              <w:rPr>
                <w:b/>
              </w:rPr>
              <w:t>PD</w:t>
            </w:r>
          </w:p>
        </w:tc>
        <w:tc>
          <w:tcPr>
            <w:tcW w:type="dxa" w:w="3024"/>
          </w:tcPr>
          <w:p>
            <w:pPr>
              <w:spacing w:after="60"/>
            </w:pPr>
            <w:r/>
            <w:r>
              <w:t>Passed with Distinction (75–100%)</w:t>
            </w:r>
          </w:p>
        </w:tc>
        <w:tc>
          <w:tcPr>
            <w:tcW w:type="dxa" w:w="3024"/>
          </w:tcPr>
          <w:p>
            <w:pPr>
              <w:spacing w:after="60"/>
            </w:pPr>
            <w:r/>
            <w:r>
              <w:t>Passed</w:t>
            </w:r>
          </w:p>
        </w:tc>
      </w:tr>
      <w:tr>
        <w:tc>
          <w:tcPr>
            <w:tcW w:type="dxa" w:w="3024"/>
          </w:tcPr>
          <w:p>
            <w:pPr>
              <w:spacing w:after="60"/>
            </w:pPr>
            <w:r/>
            <w:r>
              <w:rPr>
                <w:b/>
              </w:rPr>
              <w:t>C</w:t>
            </w:r>
          </w:p>
        </w:tc>
        <w:tc>
          <w:tcPr>
            <w:tcW w:type="dxa" w:w="3024"/>
          </w:tcPr>
          <w:p>
            <w:pPr>
              <w:spacing w:after="60"/>
            </w:pPr>
            <w:r/>
            <w:r>
              <w:t>Condoned (49%)</w:t>
            </w:r>
          </w:p>
        </w:tc>
        <w:tc>
          <w:tcPr>
            <w:tcW w:type="dxa" w:w="3024"/>
          </w:tcPr>
          <w:p>
            <w:pPr>
              <w:spacing w:after="60"/>
            </w:pPr>
            <w:r/>
            <w:r>
              <w:rPr>
                <w:b/>
              </w:rPr>
              <w:t>Passed.</w:t>
            </w:r>
            <w:r>
              <w:t xml:space="preserve"> Awarding the credit is the point of condoning, so it satisfies a prerequisite like any other pass</w:t>
            </w:r>
          </w:p>
        </w:tc>
      </w:tr>
      <w:tr>
        <w:tc>
          <w:tcPr>
            <w:tcW w:type="dxa" w:w="3024"/>
          </w:tcPr>
          <w:p>
            <w:pPr>
              <w:spacing w:after="60"/>
            </w:pPr>
            <w:r/>
            <w:r>
              <w:rPr>
                <w:b/>
              </w:rPr>
              <w:t>F</w:t>
            </w:r>
          </w:p>
        </w:tc>
        <w:tc>
          <w:tcPr>
            <w:tcW w:type="dxa" w:w="3024"/>
          </w:tcPr>
          <w:p>
            <w:pPr>
              <w:spacing w:after="60"/>
            </w:pPr>
            <w:r/>
            <w:r>
              <w:t>Failed (below 40%)</w:t>
            </w:r>
          </w:p>
        </w:tc>
        <w:tc>
          <w:tcPr>
            <w:tcW w:type="dxa" w:w="3024"/>
          </w:tcPr>
          <w:p>
            <w:pPr>
              <w:spacing w:after="60"/>
            </w:pPr>
            <w:r/>
            <w:r>
              <w:t>Failed — blocks anything depending on it</w:t>
            </w:r>
          </w:p>
        </w:tc>
      </w:tr>
      <w:tr>
        <w:tc>
          <w:tcPr>
            <w:tcW w:type="dxa" w:w="3024"/>
          </w:tcPr>
          <w:p>
            <w:pPr>
              <w:spacing w:after="60"/>
            </w:pPr>
            <w:r/>
            <w:r>
              <w:rPr>
                <w:b/>
              </w:rPr>
              <w:t>FSUB</w:t>
            </w:r>
          </w:p>
        </w:tc>
        <w:tc>
          <w:tcPr>
            <w:tcW w:type="dxa" w:w="3024"/>
          </w:tcPr>
          <w:p>
            <w:pPr>
              <w:spacing w:after="60"/>
            </w:pPr>
            <w:r/>
            <w:r>
              <w:t>Failed Subminimum</w:t>
            </w:r>
          </w:p>
        </w:tc>
        <w:tc>
          <w:tcPr>
            <w:tcW w:type="dxa" w:w="3024"/>
          </w:tcPr>
          <w:p>
            <w:pPr>
              <w:spacing w:after="60"/>
            </w:pPr>
            <w:r/>
            <w:r>
              <w:t>Failed</w:t>
            </w:r>
          </w:p>
        </w:tc>
      </w:tr>
      <w:tr>
        <w:tc>
          <w:tcPr>
            <w:tcW w:type="dxa" w:w="3024"/>
          </w:tcPr>
          <w:p>
            <w:pPr>
              <w:spacing w:after="60"/>
            </w:pPr>
            <w:r/>
            <w:r>
              <w:rPr>
                <w:b/>
              </w:rPr>
              <w:t>NSM</w:t>
            </w:r>
          </w:p>
        </w:tc>
        <w:tc>
          <w:tcPr>
            <w:tcW w:type="dxa" w:w="3024"/>
          </w:tcPr>
          <w:p>
            <w:pPr>
              <w:spacing w:after="60"/>
            </w:pPr>
            <w:r/>
            <w:r>
              <w:t>No Semester Marks</w:t>
            </w:r>
          </w:p>
        </w:tc>
        <w:tc>
          <w:tcPr>
            <w:tcW w:type="dxa" w:w="3024"/>
          </w:tcPr>
          <w:p>
            <w:pPr>
              <w:spacing w:after="60"/>
            </w:pPr>
            <w:r/>
            <w:r>
              <w:t>Failed</w:t>
            </w:r>
          </w:p>
        </w:tc>
      </w:tr>
      <w:tr>
        <w:tc>
          <w:tcPr>
            <w:tcW w:type="dxa" w:w="3024"/>
          </w:tcPr>
          <w:p>
            <w:pPr>
              <w:spacing w:after="60"/>
            </w:pPr>
            <w:r/>
            <w:r>
              <w:rPr>
                <w:b/>
              </w:rPr>
              <w:t>DISC</w:t>
            </w:r>
          </w:p>
        </w:tc>
        <w:tc>
          <w:tcPr>
            <w:tcW w:type="dxa" w:w="3024"/>
          </w:tcPr>
          <w:p>
            <w:pPr>
              <w:spacing w:after="60"/>
            </w:pPr>
            <w:r/>
            <w:r>
              <w:t>Discontinued</w:t>
            </w:r>
          </w:p>
        </w:tc>
        <w:tc>
          <w:tcPr>
            <w:tcW w:type="dxa" w:w="3024"/>
          </w:tcPr>
          <w:p>
            <w:pPr>
              <w:spacing w:after="60"/>
            </w:pPr>
            <w:r/>
            <w:r>
              <w:t>Failed</w:t>
            </w:r>
          </w:p>
        </w:tc>
      </w:tr>
      <w:tr>
        <w:tc>
          <w:tcPr>
            <w:tcW w:type="dxa" w:w="3024"/>
          </w:tcPr>
          <w:p>
            <w:pPr>
              <w:spacing w:after="60"/>
            </w:pPr>
            <w:r/>
            <w:r>
              <w:rPr>
                <w:b/>
              </w:rPr>
              <w:t>SUPP</w:t>
            </w:r>
          </w:p>
        </w:tc>
        <w:tc>
          <w:tcPr>
            <w:tcW w:type="dxa" w:w="3024"/>
          </w:tcPr>
          <w:p>
            <w:pPr>
              <w:spacing w:after="60"/>
            </w:pPr>
            <w:r/>
            <w:r>
              <w:t>Supplementary granted</w:t>
            </w:r>
          </w:p>
        </w:tc>
        <w:tc>
          <w:tcPr>
            <w:tcW w:type="dxa" w:w="3024"/>
          </w:tcPr>
          <w:p>
            <w:pPr>
              <w:spacing w:after="60"/>
            </w:pPr>
            <w:r/>
            <w:r>
              <w:rPr>
                <w:b/>
              </w:rPr>
              <w:t>Pending</w:t>
            </w:r>
            <w:r>
              <w:t xml:space="preserve"> — the outcome is not known yet, so registration may proceed provisionally</w:t>
            </w:r>
          </w:p>
        </w:tc>
      </w:tr>
      <w:tr>
        <w:tc>
          <w:tcPr>
            <w:tcW w:type="dxa" w:w="3024"/>
          </w:tcPr>
          <w:p>
            <w:pPr>
              <w:spacing w:after="60"/>
            </w:pPr>
            <w:r/>
            <w:r>
              <w:rPr>
                <w:b/>
              </w:rPr>
              <w:t>AEGRO</w:t>
            </w:r>
          </w:p>
        </w:tc>
        <w:tc>
          <w:tcPr>
            <w:tcW w:type="dxa" w:w="3024"/>
          </w:tcPr>
          <w:p>
            <w:pPr>
              <w:spacing w:after="60"/>
            </w:pPr>
            <w:r/>
            <w:r>
              <w:t>Aegrotat granted</w:t>
            </w:r>
          </w:p>
        </w:tc>
        <w:tc>
          <w:tcPr>
            <w:tcW w:type="dxa" w:w="3024"/>
          </w:tcPr>
          <w:p>
            <w:pPr>
              <w:spacing w:after="60"/>
            </w:pPr>
            <w:r/>
            <w:r>
              <w:t>Pending</w:t>
            </w:r>
          </w:p>
        </w:tc>
      </w:tr>
      <w:tr>
        <w:tc>
          <w:tcPr>
            <w:tcW w:type="dxa" w:w="3024"/>
          </w:tcPr>
          <w:p>
            <w:pPr>
              <w:spacing w:after="60"/>
            </w:pPr>
            <w:r/>
            <w:r>
              <w:rPr>
                <w:b/>
              </w:rPr>
              <w:t>PS</w:t>
            </w:r>
          </w:p>
        </w:tc>
        <w:tc>
          <w:tcPr>
            <w:tcW w:type="dxa" w:w="3024"/>
          </w:tcPr>
          <w:p>
            <w:pPr>
              <w:spacing w:after="60"/>
            </w:pPr>
            <w:r/>
            <w:r>
              <w:t>Passed Supplementary</w:t>
            </w:r>
          </w:p>
        </w:tc>
        <w:tc>
          <w:tcPr>
            <w:tcW w:type="dxa" w:w="3024"/>
          </w:tcPr>
          <w:p>
            <w:pPr>
              <w:spacing w:after="60"/>
            </w:pPr>
            <w:r/>
            <w:r>
              <w:t>Passed</w:t>
            </w:r>
          </w:p>
        </w:tc>
      </w:tr>
      <w:tr>
        <w:tc>
          <w:tcPr>
            <w:tcW w:type="dxa" w:w="3024"/>
          </w:tcPr>
          <w:p>
            <w:pPr>
              <w:spacing w:after="60"/>
            </w:pPr>
            <w:r/>
            <w:r>
              <w:rPr>
                <w:b/>
              </w:rPr>
              <w:t>FS</w:t>
            </w:r>
          </w:p>
        </w:tc>
        <w:tc>
          <w:tcPr>
            <w:tcW w:type="dxa" w:w="3024"/>
          </w:tcPr>
          <w:p>
            <w:pPr>
              <w:spacing w:after="60"/>
            </w:pPr>
            <w:r/>
            <w:r>
              <w:t>Failed Supplementary</w:t>
            </w:r>
          </w:p>
        </w:tc>
        <w:tc>
          <w:tcPr>
            <w:tcW w:type="dxa" w:w="3024"/>
          </w:tcPr>
          <w:p>
            <w:pPr>
              <w:spacing w:after="60"/>
            </w:pPr>
            <w:r/>
            <w:r>
              <w:t>Failed</w:t>
            </w:r>
          </w:p>
        </w:tc>
      </w:tr>
      <w:tr>
        <w:tc>
          <w:tcPr>
            <w:tcW w:type="dxa" w:w="3024"/>
          </w:tcPr>
          <w:p>
            <w:pPr>
              <w:spacing w:after="60"/>
            </w:pPr>
            <w:r/>
            <w:r>
              <w:rPr>
                <w:b/>
              </w:rPr>
              <w:t>PSE</w:t>
            </w:r>
          </w:p>
        </w:tc>
        <w:tc>
          <w:tcPr>
            <w:tcW w:type="dxa" w:w="3024"/>
          </w:tcPr>
          <w:p>
            <w:pPr>
              <w:spacing w:after="60"/>
            </w:pPr>
            <w:r/>
            <w:r>
              <w:t>Passed Special Exam</w:t>
            </w:r>
          </w:p>
        </w:tc>
        <w:tc>
          <w:tcPr>
            <w:tcW w:type="dxa" w:w="3024"/>
          </w:tcPr>
          <w:p>
            <w:pPr>
              <w:spacing w:after="60"/>
            </w:pPr>
            <w:r/>
            <w:r>
              <w:t>Passed</w:t>
            </w:r>
          </w:p>
        </w:tc>
      </w:tr>
      <w:tr>
        <w:tc>
          <w:tcPr>
            <w:tcW w:type="dxa" w:w="3024"/>
          </w:tcPr>
          <w:p>
            <w:pPr>
              <w:spacing w:after="60"/>
            </w:pPr>
            <w:r/>
            <w:r>
              <w:rPr>
                <w:b/>
              </w:rPr>
              <w:t>FSE</w:t>
            </w:r>
          </w:p>
        </w:tc>
        <w:tc>
          <w:tcPr>
            <w:tcW w:type="dxa" w:w="3024"/>
          </w:tcPr>
          <w:p>
            <w:pPr>
              <w:spacing w:after="60"/>
            </w:pPr>
            <w:r/>
            <w:r>
              <w:t>Failed Special Exam</w:t>
            </w:r>
          </w:p>
        </w:tc>
        <w:tc>
          <w:tcPr>
            <w:tcW w:type="dxa" w:w="3024"/>
          </w:tcPr>
          <w:p>
            <w:pPr>
              <w:spacing w:after="60"/>
            </w:pPr>
            <w:r/>
            <w:r>
              <w:t>Failed</w:t>
            </w:r>
          </w:p>
        </w:tc>
      </w:tr>
    </w:tbl>
    <w:p>
      <w:pPr>
        <w:spacing w:after="80"/>
      </w:pPr>
    </w:p>
    <w:p>
      <w:r>
        <w:t xml:space="preserve">Three groups, then: </w:t>
      </w:r>
      <w:r>
        <w:rPr>
          <w:b/>
        </w:rPr>
        <w:t>passed</w:t>
      </w:r>
      <w:r>
        <w:t xml:space="preserve"> (P, PD, C, PS, PSE), </w:t>
      </w:r>
      <w:r>
        <w:rPr>
          <w:b/>
        </w:rPr>
        <w:t>pending</w:t>
      </w:r>
      <w:r>
        <w:t xml:space="preserve"> (SUPP, AEGRO), and </w:t>
      </w:r>
      <w:r>
        <w:rPr>
          <w:b/>
        </w:rPr>
        <w:t>everything else fails</w:t>
      </w:r>
      <w:r>
        <w:t xml:space="preserve">. A module with no code at all is a separate case — see </w:t>
      </w:r>
      <w:r>
        <w:rPr>
          <w:i/>
        </w:rPr>
        <w:t>When a prerequisite has no result on record</w:t>
      </w:r>
      <w:r>
        <w:t xml:space="preserve"> in </w:t>
      </w:r>
      <w:r>
        <w:rPr>
          <w:color w:val="1A7A3C"/>
        </w:rPr>
        <w:t>settings</w:t>
      </w:r>
      <w:r>
        <w:t>.</w:t>
      </w:r>
    </w:p>
    <w:p>
      <w:r>
        <w:t xml:space="preserve">Where a student has attempted a module more than once, the </w:t>
      </w:r>
      <w:r>
        <w:rPr>
          <w:b/>
        </w:rPr>
        <w:t>best</w:t>
      </w:r>
      <w:r>
        <w:t xml:space="preserve"> outcome counts.</w:t>
      </w:r>
    </w:p>
    <w:p>
      <w:pPr>
        <w:spacing w:after="40"/>
        <w:pBdr>
          <w:bottom w:val="single" w:sz="6" w:space="4" w:color="D6DED8"/>
        </w:pBdr>
      </w:pPr>
    </w:p>
    <w:p>
      <w:pPr>
        <w:pStyle w:val="Heading2"/>
      </w:pPr>
      <w:r/>
      <w:r>
        <w:t>Terms</w:t>
      </w:r>
    </w:p>
    <w:p>
      <w:r>
        <w:rPr>
          <w:b/>
        </w:rPr>
        <w:t>Aegrotat</w:t>
      </w:r>
      <w:r>
        <w:t xml:space="preserve"> — a sitting granted to a student who missed the exam for a documented reason, usually illness. Granted by QA recording the </w:t>
      </w:r>
      <w:r>
        <w:rPr>
          <w:rFonts w:ascii="Consolas" w:hAnsi="Consolas"/>
          <w:color w:val="4A5652"/>
          <w:sz w:val="19"/>
        </w:rPr>
        <w:t>AEGRO</w:t>
      </w:r>
      <w:r>
        <w:t xml:space="preserve"> code, not by being marked absent.</w:t>
      </w:r>
    </w:p>
    <w:p>
      <w:r>
        <w:rPr>
          <w:b/>
        </w:rPr>
        <w:t>Block</w:t>
      </w:r>
      <w:r>
        <w:t xml:space="preserve"> — see </w:t>
      </w:r>
      <w:r>
        <w:rPr>
          <w:i/>
        </w:rPr>
        <w:t>Semester</w:t>
      </w:r>
      <w:r>
        <w:t>.</w:t>
      </w:r>
    </w:p>
    <w:p>
      <w:r>
        <w:rPr>
          <w:b/>
        </w:rPr>
        <w:t>Carry-over</w:t>
      </w:r>
      <w:r>
        <w:t xml:space="preserve"> — a module from an earlier semester that was not passed, being taken again alongside the current semester's work. Only offered in the half of the year the module is taught in, so a failed first-semester module comes round again the following first semester, not immediately.</w:t>
      </w:r>
    </w:p>
    <w:p>
      <w:r>
        <w:rPr>
          <w:b/>
        </w:rPr>
        <w:t>Condoned</w:t>
      </w:r>
      <w:r>
        <w:t xml:space="preserve"> — a mark of 49% allowed to pass. It carries the credit, and therefore satisfies prerequisites.</w:t>
      </w:r>
    </w:p>
    <w:p>
      <w:r>
        <w:rPr>
          <w:b/>
        </w:rPr>
        <w:t>Co-requisite</w:t>
      </w:r>
      <w:r>
        <w:t xml:space="preserve"> — a module that must be taken </w:t>
      </w:r>
      <w:r>
        <w:rPr>
          <w:i/>
        </w:rPr>
        <w:t>alongside</w:t>
      </w:r>
      <w:r>
        <w:t xml:space="preserve"> another, as opposed to before it.</w:t>
      </w:r>
    </w:p>
    <w:p>
      <w:r>
        <w:rPr>
          <w:b/>
        </w:rPr>
        <w:t>DP</w:t>
      </w:r>
      <w:r>
        <w:t xml:space="preserve"> — the semester mark: everything except the exam. Tests, assignments and practicals, weighted according to the Course Mark Scheme. Shown as </w:t>
      </w:r>
      <w:r>
        <w:rPr>
          <w:i/>
        </w:rPr>
        <w:t>Coursework</w:t>
      </w:r>
      <w:r>
        <w:t xml:space="preserve"> when setting a scheme up.</w:t>
      </w:r>
    </w:p>
    <w:p>
      <w:r>
        <w:rPr>
          <w:b/>
        </w:rPr>
        <w:t>Moderation</w:t>
      </w:r>
      <w:r>
        <w:t xml:space="preserve"> — an adjustment applied to a whole class at once, either by scaling every mark (</w:t>
      </w:r>
      <w:r>
        <w:rPr>
          <w:i/>
        </w:rPr>
        <w:t>Linear Scale</w:t>
      </w:r>
      <w:r>
        <w:t>) or adding the same amount to everyone (</w:t>
      </w:r>
      <w:r>
        <w:rPr>
          <w:i/>
        </w:rPr>
        <w:t>Flat Adjustment</w:t>
      </w:r>
      <w:r>
        <w:t>). Recorded with a reason; the original marks are kept.</w:t>
      </w:r>
    </w:p>
    <w:p>
      <w:r>
        <w:rPr>
          <w:b/>
        </w:rPr>
        <w:t>Academic standing</w:t>
      </w:r>
      <w:r>
        <w:t xml:space="preserve"> — how much of what a student has taken they have passed. Where the college has set a threshold, failing too much stops a student registering again until a registrar allows it.</w:t>
      </w:r>
    </w:p>
    <w:p>
      <w:r>
        <w:rPr>
          <w:b/>
        </w:rPr>
        <w:t>Prerequisite</w:t>
      </w:r>
      <w:r>
        <w:t xml:space="preserve"> — a module that must be passed before another may be taken. Enforced as a hard rule: a blocked module cannot be registered for.</w:t>
      </w:r>
    </w:p>
    <w:p>
      <w:r>
        <w:rPr>
          <w:b/>
        </w:rPr>
        <w:t>Provisional registration</w:t>
      </w:r>
      <w:r>
        <w:t xml:space="preserve"> — a registration that depends on a result not yet recorded. It resolves itself when the result arrives: a pass changes nothing, a fail removes the module. If the result is too late, or work has already started, it is flagged for a person instead.</w:t>
      </w:r>
    </w:p>
    <w:p>
      <w:r>
        <w:rPr>
          <w:b/>
        </w:rPr>
        <w:t>Semester</w:t>
      </w:r>
      <w:r>
        <w:t xml:space="preserve"> (also </w:t>
      </w:r>
      <w:r>
        <w:rPr>
          <w:i/>
        </w:rPr>
        <w:t>block</w:t>
      </w:r>
      <w:r>
        <w:t>) — a half-year of study, numbered 1 to 6 across the three-year diploma. Semesters 1 and 2 are the first year, 3 and 4 the second, 5 and 6 the third. Odd semesters run in the first half of the calendar year, even semesters in the second.</w:t>
      </w:r>
    </w:p>
    <w:p>
      <w:r>
        <w:rPr>
          <w:b/>
        </w:rPr>
        <w:t>Sitting</w:t>
      </w:r>
      <w:r>
        <w:t xml:space="preserve"> — which run of an assessment a mark belongs to: </w:t>
      </w:r>
      <w:r>
        <w:rPr>
          <w:b/>
        </w:rPr>
        <w:t>Main</w:t>
      </w:r>
      <w:r>
        <w:t xml:space="preserve">, </w:t>
      </w:r>
      <w:r>
        <w:rPr>
          <w:b/>
        </w:rPr>
        <w:t>Supplementary</w:t>
      </w:r>
      <w:r>
        <w:t xml:space="preserve"> or </w:t>
      </w:r>
      <w:r>
        <w:rPr>
          <w:b/>
        </w:rPr>
        <w:t>Aegrotat</w:t>
      </w:r>
      <w:r>
        <w:t>.</w:t>
      </w:r>
    </w:p>
    <w:p>
      <w:r>
        <w:rPr>
          <w:b/>
        </w:rPr>
        <w:t>Subminimum</w:t>
      </w:r>
      <w:r>
        <w:t xml:space="preserve"> — a minimum required in a particular component regardless of the overall total. Failing it fails the module (</w:t>
      </w:r>
      <w:r>
        <w:rPr>
          <w:rFonts w:ascii="Consolas" w:hAnsi="Consolas"/>
          <w:color w:val="4A5652"/>
          <w:sz w:val="19"/>
        </w:rPr>
        <w:t>FSUB</w:t>
      </w:r>
      <w:r>
        <w:t>).</w:t>
      </w:r>
    </w:p>
    <w:p>
      <w:r>
        <w:rPr>
          <w:b/>
        </w:rPr>
        <w:t>Supplementary</w:t>
      </w:r>
      <w:r>
        <w:t xml:space="preserve"> — a second chance at a course, sat as one paper covering the whole course rather than a re-sit of each assessment. Granted by QA recording the </w:t>
      </w:r>
      <w:r>
        <w:rPr>
          <w:rFonts w:ascii="Consolas" w:hAnsi="Consolas"/>
          <w:color w:val="4A5652"/>
          <w:sz w:val="19"/>
        </w:rPr>
        <w:t>SUPP</w:t>
      </w:r>
      <w:r>
        <w:t xml:space="preserve"> code. Reported in a column of its own so both attempts stay visible.</w:t>
      </w:r>
    </w:p>
    <w:p>
      <w:pPr>
        <w:spacing w:after="40"/>
        <w:pBdr>
          <w:bottom w:val="single" w:sz="6" w:space="4" w:color="D6DED8"/>
        </w:pBdr>
      </w:pPr>
    </w:p>
    <w:p>
      <w:pPr>
        <w:pStyle w:val="Heading2"/>
      </w:pPr>
      <w:r/>
      <w:r>
        <w:t>Record types</w:t>
      </w:r>
    </w:p>
    <w:tbl>
      <w:tblPr>
        <w:tblStyle w:val="TableGrid"/>
        <w:tblW w:type="auto" w:w="0"/>
        <w:jc w:val="left"/>
        <w:tblLayout w:type="autofit"/>
        <w:tblLook w:firstColumn="1" w:firstRow="1" w:lastColumn="0" w:lastRow="0" w:noHBand="0" w:noVBand="1" w:val="04A0"/>
      </w:tblPr>
      <w:tblGrid>
        <w:gridCol w:w="4536"/>
        <w:gridCol w:w="4536"/>
      </w:tblGrid>
      <w:tr>
        <w:tc>
          <w:tcPr>
            <w:tcW w:type="dxa" w:w="4536"/>
            <w:shd w:val="clear" w:fill="EAF3EC"/>
          </w:tcPr>
          <w:p>
            <w:pPr>
              <w:spacing w:after="60"/>
            </w:pPr>
            <w:r/>
            <w:r>
              <w:rPr>
                <w:b/>
              </w:rPr>
              <w:t>Record</w:t>
            </w:r>
          </w:p>
        </w:tc>
        <w:tc>
          <w:tcPr>
            <w:tcW w:type="dxa" w:w="4536"/>
            <w:shd w:val="clear" w:fill="EAF3EC"/>
          </w:tcPr>
          <w:p>
            <w:pPr>
              <w:spacing w:after="60"/>
            </w:pPr>
            <w:r/>
            <w:r>
              <w:rPr>
                <w:b/>
              </w:rPr>
              <w:t>What it is</w:t>
            </w:r>
          </w:p>
        </w:tc>
      </w:tr>
      <w:tr>
        <w:tc>
          <w:tcPr>
            <w:tcW w:type="dxa" w:w="4536"/>
          </w:tcPr>
          <w:p>
            <w:pPr>
              <w:spacing w:after="60"/>
            </w:pPr>
            <w:r/>
            <w:r>
              <w:rPr>
                <w:b/>
              </w:rPr>
              <w:t>Registration Period</w:t>
            </w:r>
          </w:p>
        </w:tc>
        <w:tc>
          <w:tcPr>
            <w:tcW w:type="dxa" w:w="4536"/>
          </w:tcPr>
          <w:p>
            <w:pPr>
              <w:spacing w:after="60"/>
            </w:pPr>
            <w:r/>
            <w:r>
              <w:t>One per semester. The window students may register in.</w:t>
            </w:r>
          </w:p>
        </w:tc>
      </w:tr>
      <w:tr>
        <w:tc>
          <w:tcPr>
            <w:tcW w:type="dxa" w:w="4536"/>
          </w:tcPr>
          <w:p>
            <w:pPr>
              <w:spacing w:after="60"/>
            </w:pPr>
            <w:r/>
            <w:r>
              <w:rPr>
                <w:b/>
              </w:rPr>
              <w:t>Registration Consent</w:t>
            </w:r>
          </w:p>
        </w:tc>
        <w:tc>
          <w:tcPr>
            <w:tcW w:type="dxa" w:w="4536"/>
          </w:tcPr>
          <w:p>
            <w:pPr>
              <w:spacing w:after="60"/>
            </w:pPr>
            <w:r/>
            <w:r>
              <w:t>What a student agreed and signed when registering. Also what Proof of Registration is printed from.</w:t>
            </w:r>
          </w:p>
        </w:tc>
      </w:tr>
      <w:tr>
        <w:tc>
          <w:tcPr>
            <w:tcW w:type="dxa" w:w="4536"/>
          </w:tcPr>
          <w:p>
            <w:pPr>
              <w:spacing w:after="60"/>
            </w:pPr>
            <w:r/>
            <w:r>
              <w:rPr>
                <w:b/>
              </w:rPr>
              <w:t>Registration Override</w:t>
            </w:r>
          </w:p>
        </w:tc>
        <w:tc>
          <w:tcPr>
            <w:tcW w:type="dxa" w:w="4536"/>
          </w:tcPr>
          <w:p>
            <w:pPr>
              <w:spacing w:after="60"/>
            </w:pPr>
            <w:r/>
            <w:r>
              <w:t>A registrar's decision to let one student register for one semester despite their results, with the reason.</w:t>
            </w:r>
          </w:p>
        </w:tc>
      </w:tr>
      <w:tr>
        <w:tc>
          <w:tcPr>
            <w:tcW w:type="dxa" w:w="4536"/>
          </w:tcPr>
          <w:p>
            <w:pPr>
              <w:spacing w:after="60"/>
            </w:pPr>
            <w:r/>
            <w:r>
              <w:rPr>
                <w:b/>
              </w:rPr>
              <w:t>Registration Settings</w:t>
            </w:r>
          </w:p>
        </w:tc>
        <w:tc>
          <w:tcPr>
            <w:tcW w:type="dxa" w:w="4536"/>
          </w:tcPr>
          <w:p>
            <w:pPr>
              <w:spacing w:after="60"/>
            </w:pPr>
            <w:r/>
            <w:r>
              <w:t>The rules the registration page enforces. One for the college.</w:t>
            </w:r>
          </w:p>
        </w:tc>
      </w:tr>
      <w:tr>
        <w:tc>
          <w:tcPr>
            <w:tcW w:type="dxa" w:w="4536"/>
          </w:tcPr>
          <w:p>
            <w:pPr>
              <w:spacing w:after="60"/>
            </w:pPr>
            <w:r/>
            <w:r>
              <w:rPr>
                <w:b/>
              </w:rPr>
              <w:t>Course Prerequisite</w:t>
            </w:r>
          </w:p>
        </w:tc>
        <w:tc>
          <w:tcPr>
            <w:tcW w:type="dxa" w:w="4536"/>
          </w:tcPr>
          <w:p>
            <w:pPr>
              <w:spacing w:after="60"/>
            </w:pPr>
            <w:r/>
            <w:r>
              <w:t>An entry on a Course saying which module must come first.</w:t>
            </w:r>
          </w:p>
        </w:tc>
      </w:tr>
      <w:tr>
        <w:tc>
          <w:tcPr>
            <w:tcW w:type="dxa" w:w="4536"/>
          </w:tcPr>
          <w:p>
            <w:pPr>
              <w:spacing w:after="60"/>
            </w:pPr>
            <w:r/>
            <w:r>
              <w:rPr>
                <w:b/>
              </w:rPr>
              <w:t>Course Mark Scheme</w:t>
            </w:r>
          </w:p>
        </w:tc>
        <w:tc>
          <w:tcPr>
            <w:tcW w:type="dxa" w:w="4536"/>
          </w:tcPr>
          <w:p>
            <w:pPr>
              <w:spacing w:after="60"/>
            </w:pPr>
            <w:r/>
            <w:r>
              <w:t>How a course's final mark is built — which assessments, and what each is worth. One per course per year.</w:t>
            </w:r>
          </w:p>
        </w:tc>
      </w:tr>
      <w:tr>
        <w:tc>
          <w:tcPr>
            <w:tcW w:type="dxa" w:w="4536"/>
          </w:tcPr>
          <w:p>
            <w:pPr>
              <w:spacing w:after="60"/>
            </w:pPr>
            <w:r/>
            <w:r>
              <w:rPr>
                <w:b/>
              </w:rPr>
              <w:t>Course Mark Sheet</w:t>
            </w:r>
          </w:p>
        </w:tc>
        <w:tc>
          <w:tcPr>
            <w:tcW w:type="dxa" w:w="4536"/>
          </w:tcPr>
          <w:p>
            <w:pPr>
              <w:spacing w:after="60"/>
            </w:pPr>
            <w:r/>
            <w:r>
              <w:t>The mark entry grid for one course, one semester, one sitting. Travels through the approval workflow.</w:t>
            </w:r>
          </w:p>
        </w:tc>
      </w:tr>
      <w:tr>
        <w:tc>
          <w:tcPr>
            <w:tcW w:type="dxa" w:w="4536"/>
          </w:tcPr>
          <w:p>
            <w:pPr>
              <w:spacing w:after="60"/>
            </w:pPr>
            <w:r/>
            <w:r>
              <w:rPr>
                <w:b/>
              </w:rPr>
              <w:t>Mark Change</w:t>
            </w:r>
          </w:p>
        </w:tc>
        <w:tc>
          <w:tcPr>
            <w:tcW w:type="dxa" w:w="4536"/>
          </w:tcPr>
          <w:p>
            <w:pPr>
              <w:spacing w:after="60"/>
            </w:pPr>
            <w:r/>
            <w:r>
              <w:t>A mark changed after approval, with the reason and who approved it.</w:t>
            </w:r>
          </w:p>
        </w:tc>
      </w:tr>
      <w:tr>
        <w:tc>
          <w:tcPr>
            <w:tcW w:type="dxa" w:w="4536"/>
          </w:tcPr>
          <w:p>
            <w:pPr>
              <w:spacing w:after="60"/>
            </w:pPr>
            <w:r/>
            <w:r>
              <w:rPr>
                <w:b/>
              </w:rPr>
              <w:t>Marking Settings</w:t>
            </w:r>
          </w:p>
        </w:tc>
        <w:tc>
          <w:tcPr>
            <w:tcW w:type="dxa" w:w="4536"/>
          </w:tcPr>
          <w:p>
            <w:pPr>
              <w:spacing w:after="60"/>
            </w:pPr>
            <w:r/>
            <w:r>
              <w:t>How classes are ordered on grids. One for the college.</w:t>
            </w:r>
          </w:p>
        </w:tc>
      </w:tr>
      <w:tr>
        <w:tc>
          <w:tcPr>
            <w:tcW w:type="dxa" w:w="4536"/>
          </w:tcPr>
          <w:p>
            <w:pPr>
              <w:spacing w:after="60"/>
            </w:pPr>
            <w:r/>
            <w:r>
              <w:rPr>
                <w:b/>
              </w:rPr>
              <w:t>Academic Remark</w:t>
            </w:r>
          </w:p>
        </w:tc>
        <w:tc>
          <w:tcPr>
            <w:tcW w:type="dxa" w:w="4536"/>
          </w:tcPr>
          <w:p>
            <w:pPr>
              <w:spacing w:after="60"/>
            </w:pPr>
            <w:r/>
            <w:r>
              <w:t>The outcome code for a student's module in a semester.</w:t>
            </w:r>
          </w:p>
        </w:tc>
      </w:tr>
      <w:tr>
        <w:tc>
          <w:tcPr>
            <w:tcW w:type="dxa" w:w="4536"/>
          </w:tcPr>
          <w:p>
            <w:pPr>
              <w:spacing w:after="60"/>
            </w:pPr>
            <w:r/>
            <w:r>
              <w:rPr>
                <w:b/>
              </w:rPr>
              <w:t>Supplementary Academic Remark</w:t>
            </w:r>
          </w:p>
        </w:tc>
        <w:tc>
          <w:tcPr>
            <w:tcW w:type="dxa" w:w="4536"/>
          </w:tcPr>
          <w:p>
            <w:pPr>
              <w:spacing w:after="60"/>
            </w:pPr>
            <w:r/>
            <w:r>
              <w:t>The same, for a supplementary sitting.</w:t>
            </w:r>
          </w:p>
        </w:tc>
      </w:tr>
      <w:tr>
        <w:tc>
          <w:tcPr>
            <w:tcW w:type="dxa" w:w="4536"/>
          </w:tcPr>
          <w:p>
            <w:pPr>
              <w:spacing w:after="60"/>
            </w:pPr>
            <w:r/>
            <w:r>
              <w:rPr>
                <w:b/>
              </w:rPr>
              <w:t>Progress Report Issue Date</w:t>
            </w:r>
          </w:p>
        </w:tc>
        <w:tc>
          <w:tcPr>
            <w:tcW w:type="dxa" w:w="4536"/>
          </w:tcPr>
          <w:p>
            <w:pPr>
              <w:spacing w:after="60"/>
            </w:pPr>
            <w:r/>
            <w:r>
              <w:t>When a semester's results are issued and when students may see them. One per semester per sitting.</w:t>
            </w:r>
          </w:p>
        </w:tc>
      </w:tr>
      <w:tr>
        <w:tc>
          <w:tcPr>
            <w:tcW w:type="dxa" w:w="4536"/>
          </w:tcPr>
          <w:p>
            <w:pPr>
              <w:spacing w:after="60"/>
            </w:pPr>
            <w:r/>
            <w:r>
              <w:rPr>
                <w:b/>
              </w:rPr>
              <w:t>Student Progress Report</w:t>
            </w:r>
          </w:p>
        </w:tc>
        <w:tc>
          <w:tcPr>
            <w:tcW w:type="dxa" w:w="4536"/>
          </w:tcPr>
          <w:p>
            <w:pPr>
              <w:spacing w:after="60"/>
            </w:pPr>
            <w:r/>
            <w:r>
              <w:t>The tool that produces a student's printed progress report.</w:t>
            </w:r>
          </w:p>
        </w:tc>
      </w:tr>
      <w:tr>
        <w:tc>
          <w:tcPr>
            <w:tcW w:type="dxa" w:w="4536"/>
          </w:tcPr>
          <w:p>
            <w:pPr>
              <w:spacing w:after="60"/>
            </w:pPr>
            <w:r/>
            <w:r>
              <w:rPr>
                <w:b/>
              </w:rPr>
              <w:t>Student Progress Report Settings</w:t>
            </w:r>
          </w:p>
        </w:tc>
        <w:tc>
          <w:tcPr>
            <w:tcW w:type="dxa" w:w="4536"/>
          </w:tcPr>
          <w:p>
            <w:pPr>
              <w:spacing w:after="60"/>
            </w:pPr>
            <w:r/>
            <w:r>
              <w:t>The two signatures printed on it.</w:t>
            </w:r>
          </w:p>
        </w:tc>
      </w:tr>
    </w:tbl>
    <w:p>
      <w:pPr>
        <w:spacing w:after="80"/>
      </w:pPr>
    </w:p>
    <w:p>
      <w:pPr>
        <w:pStyle w:val="Heading2"/>
      </w:pPr>
      <w:r/>
      <w:r>
        <w:t>Reports and views</w:t>
      </w:r>
    </w:p>
    <w:tbl>
      <w:tblPr>
        <w:tblStyle w:val="TableGrid"/>
        <w:tblW w:type="auto" w:w="0"/>
        <w:jc w:val="left"/>
        <w:tblLayout w:type="autofit"/>
        <w:tblLook w:firstColumn="1" w:firstRow="1" w:lastColumn="0" w:lastRow="0" w:noHBand="0" w:noVBand="1" w:val="04A0"/>
      </w:tblPr>
      <w:tblGrid>
        <w:gridCol w:w="4536"/>
        <w:gridCol w:w="4536"/>
      </w:tblGrid>
      <w:tr>
        <w:tc>
          <w:tcPr>
            <w:tcW w:type="dxa" w:w="4536"/>
            <w:shd w:val="clear" w:fill="EAF3EC"/>
          </w:tcPr>
          <w:p>
            <w:pPr>
              <w:spacing w:after="60"/>
            </w:pPr>
            <w:r/>
            <w:r>
              <w:rPr>
                <w:b/>
              </w:rPr>
              <w:t>Name</w:t>
            </w:r>
          </w:p>
        </w:tc>
        <w:tc>
          <w:tcPr>
            <w:tcW w:type="dxa" w:w="4536"/>
            <w:shd w:val="clear" w:fill="EAF3EC"/>
          </w:tcPr>
          <w:p>
            <w:pPr>
              <w:spacing w:after="60"/>
            </w:pPr>
            <w:r/>
            <w:r>
              <w:rPr>
                <w:b/>
              </w:rPr>
              <w:t>What it shows</w:t>
            </w:r>
          </w:p>
        </w:tc>
      </w:tr>
      <w:tr>
        <w:tc>
          <w:tcPr>
            <w:tcW w:type="dxa" w:w="4536"/>
          </w:tcPr>
          <w:p>
            <w:pPr>
              <w:spacing w:after="60"/>
            </w:pPr>
            <w:r/>
            <w:r>
              <w:rPr>
                <w:b/>
              </w:rPr>
              <w:t>Registration Status</w:t>
            </w:r>
          </w:p>
        </w:tc>
        <w:tc>
          <w:tcPr>
            <w:tcW w:type="dxa" w:w="4536"/>
          </w:tcPr>
          <w:p>
            <w:pPr>
              <w:spacing w:after="60"/>
            </w:pPr>
            <w:r/>
            <w:r>
              <w:t>Every student for a semester: registered, not registered, or not due. The list a registrar chases from.</w:t>
            </w:r>
          </w:p>
        </w:tc>
      </w:tr>
      <w:tr>
        <w:tc>
          <w:tcPr>
            <w:tcW w:type="dxa" w:w="4536"/>
          </w:tcPr>
          <w:p>
            <w:pPr>
              <w:spacing w:after="60"/>
            </w:pPr>
            <w:r/>
            <w:r>
              <w:rPr>
                <w:b/>
              </w:rPr>
              <w:t>Course Results</w:t>
            </w:r>
          </w:p>
        </w:tc>
        <w:tc>
          <w:tcPr>
            <w:tcW w:type="dxa" w:w="4536"/>
          </w:tcPr>
          <w:p>
            <w:pPr>
              <w:spacing w:after="60"/>
            </w:pPr>
            <w:r/>
            <w:r>
              <w:t>A course's results for QA to review and record outcome codes against.</w:t>
            </w:r>
          </w:p>
        </w:tc>
      </w:tr>
      <w:tr>
        <w:tc>
          <w:tcPr>
            <w:tcW w:type="dxa" w:w="4536"/>
          </w:tcPr>
          <w:p>
            <w:pPr>
              <w:spacing w:after="60"/>
            </w:pPr>
            <w:r/>
            <w:r>
              <w:rPr>
                <w:b/>
              </w:rPr>
              <w:t>Registration Dashboard</w:t>
            </w:r>
          </w:p>
        </w:tc>
        <w:tc>
          <w:tcPr>
            <w:tcW w:type="dxa" w:w="4536"/>
          </w:tcPr>
          <w:p>
            <w:pPr>
              <w:spacing w:after="60"/>
            </w:pPr>
            <w:r/>
            <w:r>
              <w:t>Six numbers and four charts on how a registration window is going.</w:t>
            </w:r>
          </w:p>
        </w:tc>
      </w:tr>
      <w:tr>
        <w:tc>
          <w:tcPr>
            <w:tcW w:type="dxa" w:w="4536"/>
          </w:tcPr>
          <w:p>
            <w:pPr>
              <w:spacing w:after="60"/>
            </w:pPr>
            <w:r/>
            <w:r>
              <w:rPr>
                <w:b/>
              </w:rPr>
              <w:t>Proof of Registration</w:t>
            </w:r>
          </w:p>
        </w:tc>
        <w:tc>
          <w:tcPr>
            <w:tcW w:type="dxa" w:w="4536"/>
          </w:tcPr>
          <w:p>
            <w:pPr>
              <w:spacing w:after="60"/>
            </w:pPr>
            <w:r/>
            <w:r>
              <w:t>A printable confirmation of a student's registration, from their Registration Consent.</w:t>
            </w:r>
          </w:p>
        </w:tc>
      </w:tr>
    </w:tbl>
    <w:p>
      <w:pPr>
        <w:spacing w:after="80"/>
      </w:pP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A5652"/>
        <w:sz w:val="16"/>
      </w:rPr>
      <w:t>Education Extension  ·  Tsolo Agriculture &amp; Rural Development Institute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C23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mbria" w:hAnsi="Cambria"/>
      <w:b/>
      <w:bCs/>
      <w:color w:val="1A7A3C"/>
      <w:sz w:val="40"/>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mbria" w:hAnsi="Cambria"/>
      <w:b/>
      <w:bCs/>
      <w:color w:val="1A7A3C"/>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mbria" w:hAnsi="Cambria"/>
      <w:b/>
      <w:bCs/>
      <w:color w:val="1C2321"/>
      <w:sz w:val="25"/>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libri" w:hAnsi="Calibri"/>
      <w:b/>
      <w:bCs/>
      <w:i/>
      <w:iCs/>
      <w:color w:val="1C232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