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6" w:space="4" w:color="D6DED8"/>
        </w:pBdr>
      </w:pPr>
      <w:r>
        <w:rPr>
          <w:rFonts w:ascii="Cambria" w:hAnsi="Cambria"/>
          <w:b/>
          <w:color w:val="1A7A3C"/>
          <w:sz w:val="48"/>
        </w:rPr>
        <w:t>Education Extension — Settings Reference</w:t>
      </w:r>
    </w:p>
    <w:p>
      <w:r>
        <w:t>Every switch this add-on introduces, what it does, and what happens if you get it wrong. Most of these are set once when the system is first configured.</w:t>
      </w:r>
    </w:p>
    <w:p>
      <w:pPr>
        <w:spacing w:after="40"/>
        <w:pBdr>
          <w:bottom w:val="single" w:sz="6" w:space="4" w:color="D6DED8"/>
        </w:pBdr>
      </w:pPr>
    </w:p>
    <w:p>
      <w:pPr>
        <w:pStyle w:val="Heading2"/>
      </w:pPr>
      <w:r/>
      <w:r>
        <w:t>Registration Settings</w:t>
      </w:r>
    </w:p>
    <w:p>
      <w:r>
        <w:t>The rules the registration page enforces. One record for the whole college.</w:t>
      </w:r>
    </w:p>
    <w:p>
      <w:pPr>
        <w:pStyle w:val="Heading3"/>
      </w:pPr>
      <w:r/>
      <w:r>
        <w:t>When a prerequisite has no result on record</w:t>
      </w:r>
    </w:p>
    <w:p>
      <w:r>
        <w:rPr>
          <w:b/>
        </w:rPr>
        <w:t>The most consequential setting here.</w:t>
      </w:r>
      <w:r>
        <w:t xml:space="preserve"> A student wants to take Module B, which needs Module A. The system looks for a recorded outcome on Module A and finds nothing at all — not a pass, not a fail, nothing. What should happen?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Option</w:t>
            </w:r>
          </w:p>
        </w:tc>
        <w:tc>
          <w:tcPr>
            <w:tcW w:type="dxa" w:w="3024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Behaviour</w:t>
            </w:r>
          </w:p>
        </w:tc>
        <w:tc>
          <w:tcPr>
            <w:tcW w:type="dxa" w:w="3024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Choose it when</w:t>
            </w:r>
          </w:p>
        </w:tc>
      </w:tr>
      <w:tr>
        <w:tc>
          <w:tcPr>
            <w:tcW w:type="dxa" w:w="3024"/>
          </w:tcPr>
          <w:p>
            <w:pPr>
              <w:spacing w:after="60"/>
            </w:pPr>
            <w:r/>
            <w:r>
              <w:rPr>
                <w:b/>
              </w:rPr>
              <w:t>Do not block</w:t>
            </w:r>
            <w:r>
              <w:t xml:space="preserve"> </w:t>
            </w:r>
            <w:r>
              <w:rPr>
                <w:i/>
              </w:rPr>
              <w:t>(default)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 xml:space="preserve">Only a recorded </w:t>
            </w:r>
            <w:r>
              <w:rPr>
                <w:i/>
              </w:rPr>
              <w:t>failure</w:t>
            </w:r>
            <w:r>
              <w:t xml:space="preserve"> stops a student. A missing result is noted on the row and the student may proceed.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Your results predate this system, or are still being captured.</w:t>
            </w:r>
          </w:p>
        </w:tc>
      </w:tr>
      <w:tr>
        <w:tc>
          <w:tcPr>
            <w:tcW w:type="dxa" w:w="3024"/>
          </w:tcPr>
          <w:p>
            <w:pPr>
              <w:spacing w:after="60"/>
            </w:pPr>
            <w:r/>
            <w:r>
              <w:rPr>
                <w:b/>
              </w:rPr>
              <w:t>Treat as not passed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A missing result blocks, exactly as a failure would.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Every result a student could need is recorded here.</w:t>
            </w:r>
          </w:p>
        </w:tc>
      </w:tr>
    </w:tbl>
    <w:p>
      <w:pPr>
        <w:spacing w:after="80"/>
      </w:pPr>
    </w:p>
    <w:p>
      <w:pPr>
        <w:spacing w:before="120" w:after="200"/>
        <w:ind w:left="403"/>
        <w:pBdr>
          <w:left w:val="single" w:sz="18" w:space="8" w:color="B45309"/>
        </w:pBdr>
      </w:pPr>
      <w:r>
        <w:rPr>
          <w:color w:val="4A5652"/>
        </w:rPr>
        <w:t xml:space="preserve">Set this to </w:t>
      </w:r>
      <w:r>
        <w:rPr>
          <w:i/>
          <w:color w:val="4A5652"/>
        </w:rPr>
        <w:t>Treat as not passed</w:t>
      </w:r>
      <w:r>
        <w:rPr>
          <w:color w:val="4A5652"/>
        </w:rPr>
        <w:t xml:space="preserve"> too early and </w:t>
      </w:r>
      <w:r>
        <w:rPr>
          <w:b/>
          <w:color w:val="4A5652"/>
        </w:rPr>
        <w:t>every student is blocked from everything</w:t>
      </w:r>
      <w:r>
        <w:rPr>
          <w:color w:val="4A5652"/>
        </w:rPr>
        <w:t>, because the system has no history to check against. This is the single most likely way to make registration appear broken.</w:t>
      </w:r>
    </w:p>
    <w:p>
      <w:pPr>
        <w:pStyle w:val="Heading3"/>
      </w:pPr>
      <w:r/>
      <w:r>
        <w:t>Failed Modules Block Registration</w:t>
      </w:r>
    </w:p>
    <w:p>
      <w:r>
        <w:t>Off by default. Turn it on to refuse registration to a student who has failed too much of what they have taken.</w:t>
      </w:r>
    </w:p>
    <w:p>
      <w:pPr>
        <w:spacing w:before="120" w:after="200"/>
        <w:ind w:left="403"/>
        <w:pBdr>
          <w:left w:val="single" w:sz="18" w:space="8" w:color="B45309"/>
        </w:pBdr>
      </w:pPr>
      <w:r>
        <w:rPr>
          <w:color w:val="4A5652"/>
        </w:rPr>
        <w:t>Leave this off until your results are complete in this system. Counted against a partial record it excludes students over results that were simply never captured — the same trap as the prerequisite setting above, and for the same reason.</w:t>
      </w:r>
    </w:p>
    <w:p>
      <w:r>
        <w:t xml:space="preserve">Two thresholds sit under it, and </w:t>
      </w:r>
      <w:r>
        <w:rPr>
          <w:b/>
        </w:rPr>
        <w:t>either one</w:t>
      </w:r>
      <w:r>
        <w:t xml:space="preserve"> is enough to block a student. Leave a threshold at 0 to switch that half of the rule off; with both at 0 nobody is blocked, whatever the tick box says.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Setting</w:t>
            </w:r>
          </w:p>
        </w:tc>
        <w:tc>
          <w:tcPr>
            <w:tcW w:type="dxa" w:w="4536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Blocks a student who has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b/>
              </w:rPr>
              <w:t>Modules Failed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failed this many modules or more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b/>
              </w:rPr>
              <w:t>Percentage Failed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failed this percentage of the modules they took or more</w:t>
            </w:r>
          </w:p>
        </w:tc>
      </w:tr>
    </w:tbl>
    <w:p>
      <w:pPr>
        <w:spacing w:after="80"/>
      </w:pPr>
    </w:p>
    <w:p>
      <w:pPr>
        <w:pStyle w:val="Heading3"/>
      </w:pPr>
      <w:r/>
      <w:r>
        <w:t>Counted Over</w:t>
      </w:r>
    </w:p>
    <w:p>
      <w:r>
        <w:t>How much of the record the two thresholds are measured against.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Option</w:t>
            </w:r>
          </w:p>
        </w:tc>
        <w:tc>
          <w:tcPr>
            <w:tcW w:type="dxa" w:w="4536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Behaviour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b/>
              </w:rPr>
              <w:t>Most recent academic year</w:t>
            </w:r>
            <w:r>
              <w:t xml:space="preserve"> </w:t>
            </w:r>
            <w:r>
              <w:rPr>
                <w:i/>
              </w:rPr>
              <w:t>(default)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Only the year the student last has results for, so a bad year is not held against them for ever.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b/>
              </w:rPr>
              <w:t>Whole record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Every module they have ever taken.</w:t>
            </w:r>
          </w:p>
        </w:tc>
      </w:tr>
    </w:tbl>
    <w:p>
      <w:pPr>
        <w:spacing w:after="80"/>
      </w:pPr>
    </w:p>
    <w:p>
      <w:r>
        <w:t>Two things are counted the way a registrar would count them rather than the way the database stores them, and both matter:</w:t>
      </w:r>
    </w:p>
    <w:p>
      <w:pPr>
        <w:pStyle w:val="ListBullet"/>
        <w:spacing w:after="80"/>
      </w:pPr>
      <w:r>
        <w:t xml:space="preserve">A module is counted </w:t>
      </w:r>
      <w:r>
        <w:rPr>
          <w:b/>
        </w:rPr>
        <w:t>once</w:t>
      </w:r>
      <w:r>
        <w:t>, by its best outcome. Failed in one year and</w:t>
      </w:r>
    </w:p>
    <w:p>
      <w:r>
        <w:t>passed in the next, it is a pass — nobody is excluded over a module they have since passed.</w:t>
      </w:r>
    </w:p>
    <w:p>
      <w:pPr>
        <w:pStyle w:val="ListBullet"/>
        <w:spacing w:after="80"/>
      </w:pPr>
      <w:r>
        <w:t xml:space="preserve">A module </w:t>
      </w:r>
      <w:r>
        <w:rPr>
          <w:b/>
        </w:rPr>
        <w:t>waiting on a supplementary or aegrotat result</w:t>
      </w:r>
      <w:r>
        <w:t xml:space="preserve"> counts as taken and</w:t>
      </w:r>
    </w:p>
    <w:p>
      <w:r>
        <w:rPr>
          <w:i/>
        </w:rPr>
        <w:t>not</w:t>
      </w:r>
      <w:r>
        <w:t xml:space="preserve"> as failed. Supplementary results land around the time the next term opens, so without this a student carrying one settled fail among four pending modules would read as having failed 100% of them.</w:t>
      </w:r>
    </w:p>
    <w:p>
      <w:r>
        <w:t>A student the rule turns away is told the figures — how many of how many, which modules, and how many are still awaiting a result — so they can tell whether something has been miscounted.</w:t>
      </w:r>
    </w:p>
    <w:p>
      <w:pPr>
        <w:pStyle w:val="Heading3"/>
      </w:pPr>
      <w:r/>
      <w:r>
        <w:t>Outstanding Fees Block Registration</w:t>
      </w:r>
    </w:p>
    <w:p>
      <w:r>
        <w:t>Off by default. Turn it on to refuse registration to a student who owes money.</w:t>
      </w:r>
    </w:p>
    <w:p>
      <w:r>
        <w:t>The balance is the outstanding total on their submitted Sales Invoices. If your college does not raise invoices in this system, every balance is zero and nobody is ever blocked — turning it on has no effect rather than blocking everyone.</w:t>
      </w:r>
    </w:p>
    <w:p>
      <w:pPr>
        <w:pStyle w:val="Heading3"/>
      </w:pPr>
      <w:r/>
      <w:r>
        <w:t>Tolerance</w:t>
      </w:r>
    </w:p>
    <w:p>
      <w:r>
        <w:t>Only relevant with the above turned on. Balances at or below this amount are ignored, so a student owing a few rand is not turned away at the door.</w:t>
      </w:r>
    </w:p>
    <w:p>
      <w:pPr>
        <w:pStyle w:val="Heading3"/>
      </w:pPr>
      <w:r/>
      <w:r>
        <w:t>Pre-requisite Declaration / POPIA Consent</w:t>
      </w:r>
    </w:p>
    <w:p>
      <w:r>
        <w:t>The wording students are shown and must agree to at the second step of registration. Both accept placeholders, filled in per student:</w:t>
      </w:r>
    </w:p>
    <w:p>
      <w:r>
        <w:rPr>
          <w:rFonts w:ascii="Consolas" w:hAnsi="Consolas"/>
          <w:color w:val="4A5652"/>
          <w:sz w:val="19"/>
        </w:rPr>
        <w:t>{student_name}</w:t>
      </w:r>
      <w:r>
        <w:t xml:space="preserve"> · </w:t>
      </w:r>
      <w:r>
        <w:rPr>
          <w:rFonts w:ascii="Consolas" w:hAnsi="Consolas"/>
          <w:color w:val="4A5652"/>
          <w:sz w:val="19"/>
        </w:rPr>
        <w:t>{id_number}</w:t>
      </w:r>
      <w:r>
        <w:t xml:space="preserve"> · </w:t>
      </w:r>
      <w:r>
        <w:rPr>
          <w:rFonts w:ascii="Consolas" w:hAnsi="Consolas"/>
          <w:color w:val="4A5652"/>
          <w:sz w:val="19"/>
        </w:rPr>
        <w:t>{student_number}</w:t>
      </w:r>
      <w:r>
        <w:t xml:space="preserve"> · </w:t>
      </w:r>
      <w:r>
        <w:rPr>
          <w:rFonts w:ascii="Consolas" w:hAnsi="Consolas"/>
          <w:color w:val="4A5652"/>
          <w:sz w:val="19"/>
        </w:rPr>
        <w:t>{date}</w:t>
      </w:r>
    </w:p>
    <w:p>
      <w:pPr>
        <w:spacing w:before="120" w:after="200"/>
        <w:ind w:left="403"/>
        <w:pBdr>
          <w:left w:val="single" w:sz="18" w:space="8" w:color="B45309"/>
        </w:pBdr>
      </w:pPr>
      <w:r>
        <w:rPr>
          <w:color w:val="4A5652"/>
        </w:rPr>
        <w:t xml:space="preserve">Amending the wording does </w:t>
      </w:r>
      <w:r>
        <w:rPr>
          <w:b/>
          <w:color w:val="4A5652"/>
        </w:rPr>
        <w:t>not</w:t>
      </w:r>
      <w:r>
        <w:rPr>
          <w:color w:val="4A5652"/>
        </w:rPr>
        <w:t xml:space="preserve"> alter consents already recorded. Each consent keeps its own copy of the text as it stood when the student signed it, which is the whole point of recording consent.</w:t>
      </w:r>
    </w:p>
    <w:p>
      <w:pPr>
        <w:pStyle w:val="Heading3"/>
      </w:pPr>
      <w:r/>
      <w:r>
        <w:t>Registrar Name</w:t>
      </w:r>
    </w:p>
    <w:p>
      <w:r>
        <w:t>Printed under the second signature line on the Proof of Registration. Worth checking when the post changes hands.</w:t>
      </w:r>
    </w:p>
    <w:p>
      <w:pPr>
        <w:pStyle w:val="Heading3"/>
      </w:pPr>
      <w:r/>
      <w:r>
        <w:t>Show Unconfirmed Prerequisites to Students</w:t>
      </w:r>
    </w:p>
    <w:p>
      <w:r>
        <w:t>Off by default, and should normally stay off.</w:t>
      </w:r>
    </w:p>
    <w:p>
      <w:r>
        <w:t>With it on, students are told which of their prerequisites have no result on record. That is internal detail about how complete your records are, not anything a student can act on — "no result on record for ANH1201" invites a query you cannot answer at the counter.</w:t>
      </w:r>
    </w:p>
    <w:p>
      <w:r>
        <w:t xml:space="preserve">Turn it on to work out why a particular module is being offered or withheld, then </w:t>
      </w:r>
      <w:r>
        <w:rPr>
          <w:b/>
        </w:rPr>
        <w:t>turn it off again</w:t>
      </w:r>
      <w:r>
        <w:t>. It applies to every student while it is on.</w:t>
      </w:r>
    </w:p>
    <w:p>
      <w:pPr>
        <w:spacing w:after="40"/>
        <w:pBdr>
          <w:bottom w:val="single" w:sz="6" w:space="4" w:color="D6DED8"/>
        </w:pBdr>
      </w:pPr>
    </w:p>
    <w:p>
      <w:pPr>
        <w:pStyle w:val="Heading2"/>
      </w:pPr>
      <w:r/>
      <w:r>
        <w:t>Marking Settings</w:t>
      </w:r>
    </w:p>
    <w:p>
      <w:pPr>
        <w:pStyle w:val="Heading3"/>
      </w:pPr>
      <w:r/>
      <w:r>
        <w:t>List Students By</w:t>
      </w:r>
    </w:p>
    <w:p>
      <w:r>
        <w:t xml:space="preserve">How students are ordered on mark entry grids, and anywhere else a class is shown in order. Options: </w:t>
      </w:r>
      <w:r>
        <w:rPr>
          <w:b/>
        </w:rPr>
        <w:t>Last Name</w:t>
      </w:r>
      <w:r>
        <w:t xml:space="preserve"> (default), </w:t>
      </w:r>
      <w:r>
        <w:rPr>
          <w:b/>
        </w:rPr>
        <w:t>First Name</w:t>
      </w:r>
      <w:r>
        <w:t xml:space="preserve">, </w:t>
      </w:r>
      <w:r>
        <w:rPr>
          <w:b/>
        </w:rPr>
        <w:t>Student Name</w:t>
      </w:r>
      <w:r>
        <w:t xml:space="preserve">, </w:t>
      </w:r>
      <w:r>
        <w:rPr>
          <w:b/>
        </w:rPr>
        <w:t>Student Number</w:t>
      </w:r>
      <w:r>
        <w:t xml:space="preserve">, </w:t>
      </w:r>
      <w:r>
        <w:rPr>
          <w:b/>
        </w:rPr>
        <w:t>Student ID</w:t>
      </w:r>
      <w:r>
        <w:t>.</w:t>
      </w:r>
    </w:p>
    <w:p>
      <w:r>
        <w:t>A surname roll is conventional on a mark sheet, but some colleges work from a student number, which is why this is a setting rather than a decision baked into the grid.</w:t>
      </w:r>
    </w:p>
    <w:p>
      <w:pPr>
        <w:spacing w:after="40"/>
        <w:pBdr>
          <w:bottom w:val="single" w:sz="6" w:space="4" w:color="D6DED8"/>
        </w:pBdr>
      </w:pPr>
    </w:p>
    <w:p>
      <w:pPr>
        <w:pStyle w:val="Heading2"/>
      </w:pPr>
      <w:r/>
      <w:r>
        <w:t>Student Progress Report Settings</w:t>
      </w:r>
    </w:p>
    <w:p>
      <w:r>
        <w:t>The two signatures printed at the foot of every progress report. For each:</w:t>
      </w:r>
    </w:p>
    <w:p>
      <w:pPr>
        <w:pStyle w:val="ListBullet"/>
        <w:spacing w:after="80"/>
      </w:pPr>
      <w:r>
        <w:rPr>
          <w:b/>
        </w:rPr>
        <w:t>Name</w:t>
      </w:r>
      <w:r>
        <w:t xml:space="preserve"> — the person signing.</w:t>
      </w:r>
    </w:p>
    <w:p>
      <w:pPr>
        <w:pStyle w:val="ListBullet"/>
        <w:spacing w:after="80"/>
      </w:pPr>
      <w:r>
        <w:rPr>
          <w:b/>
        </w:rPr>
        <w:t>Role</w:t>
      </w:r>
      <w:r>
        <w:t xml:space="preserve"> — their title, printed under the name.</w:t>
      </w:r>
    </w:p>
    <w:p>
      <w:pPr>
        <w:pStyle w:val="ListBullet"/>
        <w:spacing w:after="80"/>
      </w:pPr>
      <w:r>
        <w:rPr>
          <w:b/>
        </w:rPr>
        <w:t>Signature</w:t>
      </w:r>
      <w:r>
        <w:t xml:space="preserve"> — the signature image itself.</w:t>
      </w:r>
    </w:p>
    <w:p>
      <w:pPr>
        <w:spacing w:after="40"/>
        <w:pBdr>
          <w:bottom w:val="single" w:sz="6" w:space="4" w:color="D6DED8"/>
        </w:pBdr>
      </w:pPr>
    </w:p>
    <w:p>
      <w:pPr>
        <w:pStyle w:val="Heading2"/>
      </w:pPr>
      <w:r/>
      <w:r>
        <w:t>Registration Period</w:t>
      </w:r>
    </w:p>
    <w:p>
      <w:r>
        <w:t xml:space="preserve">Not a global setting — one record per semester. Covered in </w:t>
      </w:r>
      <w:r>
        <w:rPr>
          <w:color w:val="1A7A3C"/>
        </w:rPr>
        <w:t>for registrars</w:t>
      </w:r>
      <w:r>
        <w:t>.</w:t>
      </w:r>
    </w:p>
    <w:p>
      <w:r>
        <w:t xml:space="preserve">The field worth repeating here is </w:t>
      </w:r>
      <w:r>
        <w:rPr>
          <w:b/>
        </w:rPr>
        <w:t>Last Date to Register</w:t>
      </w:r>
      <w:r>
        <w:t>: after it, nothing about a registration changes by itself. A supplementary result landing later will not remove a module the student has started attending; the case is flagged for a person instead.</w:t>
      </w:r>
    </w:p>
    <w:p>
      <w:pPr>
        <w:spacing w:after="40"/>
        <w:pBdr>
          <w:bottom w:val="single" w:sz="6" w:space="4" w:color="D6DED8"/>
        </w:pBdr>
      </w:pPr>
    </w:p>
    <w:p>
      <w:pPr>
        <w:pStyle w:val="Heading2"/>
      </w:pPr>
      <w:r/>
      <w:r>
        <w:t>Progress Report Issue Date</w:t>
      </w:r>
    </w:p>
    <w:p>
      <w:r>
        <w:t>Not a global setting either — one record per semester, per kind of sitting. This is what makes marks visible to students.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4536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b/>
              </w:rPr>
              <w:t>Academic Year / Term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Which semester it covers.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b/>
              </w:rPr>
              <w:t>Issue Date For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rPr>
                <w:b/>
              </w:rPr>
              <w:t>Standard</w:t>
            </w:r>
            <w:r>
              <w:t xml:space="preserve"> (the main sitting), </w:t>
            </w:r>
            <w:r>
              <w:rPr>
                <w:b/>
              </w:rPr>
              <w:t>Supplementary</w:t>
            </w:r>
            <w:r>
              <w:t xml:space="preserve">, </w:t>
            </w:r>
            <w:r>
              <w:rPr>
                <w:b/>
              </w:rPr>
              <w:t>Remarking</w:t>
            </w:r>
            <w:r>
              <w:t xml:space="preserve"> or </w:t>
            </w:r>
            <w:r>
              <w:rPr>
                <w:b/>
              </w:rPr>
              <w:t>AEGROTAT</w:t>
            </w:r>
            <w:r>
              <w:t>.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b/>
              </w:rPr>
              <w:t>Issue Date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The date printed on the progress report.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b/>
              </w:rPr>
              <w:t>Released to Students At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The moment students may see these marks on the portal.</w:t>
            </w:r>
          </w:p>
        </w:tc>
      </w:tr>
    </w:tbl>
    <w:p>
      <w:pPr>
        <w:spacing w:after="80"/>
      </w:pPr>
    </w:p>
    <w:p>
      <w:r>
        <w:t xml:space="preserve">Until </w:t>
      </w:r>
      <w:r>
        <w:rPr>
          <w:b/>
        </w:rPr>
        <w:t>Released to Students At</w:t>
      </w:r>
      <w:r>
        <w:t xml:space="preserve"> passes, the portal shows nothing for that sitting — however far through approval the marks are. Approving a mark sheet is not the same as publishing it.</w:t>
      </w:r>
    </w:p>
    <w:p>
      <w:r>
        <w:t xml:space="preserve">A supplementary sitting needs its </w:t>
      </w:r>
      <w:r>
        <w:rPr>
          <w:b/>
        </w:rPr>
        <w:t>own</w:t>
      </w:r>
      <w:r>
        <w:t xml:space="preserve"> record. With only a </w:t>
      </w:r>
      <w:r>
        <w:rPr>
          <w:i/>
        </w:rPr>
        <w:t>Standard</w:t>
      </w:r>
      <w:r>
        <w:t xml:space="preserve"> record filed, a student's supplementary result stays hidden even though their main result is visible.</w:t>
      </w:r>
    </w:p>
    <w:p>
      <w:pPr>
        <w:spacing w:after="40"/>
        <w:pBdr>
          <w:bottom w:val="single" w:sz="6" w:space="4" w:color="D6DED8"/>
        </w:pBdr>
      </w:pPr>
    </w:p>
    <w:p>
      <w:pPr>
        <w:pStyle w:val="Heading2"/>
      </w:pPr>
      <w:r/>
      <w:r>
        <w:t>Course Mark Scheme</w:t>
      </w:r>
    </w:p>
    <w:p>
      <w:r>
        <w:t xml:space="preserve">Per course, per year, rather than a global setting. Covered in </w:t>
      </w:r>
      <w:r>
        <w:rPr>
          <w:color w:val="1A7A3C"/>
        </w:rPr>
        <w:t>for lecturers and QA</w:t>
      </w:r>
      <w:r>
        <w:t>.</w:t>
      </w:r>
    </w:p>
    <w:p>
      <w:r>
        <w:t xml:space="preserve">The rule to remember: </w:t>
      </w:r>
      <w:r>
        <w:rPr>
          <w:b/>
        </w:rPr>
        <w:t>weightings must total 100%</w:t>
      </w:r>
      <w:r>
        <w:t>, and they are shares of the final mark rather than of their own component.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652"/>
        <w:sz w:val="16"/>
      </w:rPr>
      <w:t>Education Extension  ·  Tsolo Agriculture &amp; Rural Development Institute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C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A7A3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1A7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1C232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C232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