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sz w:val="48"/>
          <w:szCs w:val="48"/>
        </w:rPr>
        <w:t xml:space="preserve">QA Manual &amp; Automation with Playwright, TypeScript, Docker, n8n and AI</w:t>
      </w:r>
    </w:p>
    <w:p>
      <w:pPr>
        <w:spacing w:after="240"/>
      </w:pPr>
      <w:r>
        <w:rPr>
          <w:rFonts w:ascii="Calibri" w:cs="Calibri" w:eastAsia="Calibri" w:hAnsi="Calibri"/>
          <w:i/>
          <w:iCs/>
          <w:color w:val="444444"/>
          <w:sz w:val="22"/>
          <w:szCs w:val="22"/>
        </w:rPr>
        <w:t xml:space="preserve">Course syllabus  •  86 hours  •  Online on Zoom  •  Thursdays and Saturdays, 6:00–9:00 PM  •  Starts 18 October 2026</w:t>
      </w:r>
    </w:p>
    <w:p>
      <w:pPr>
        <w:spacing w:after="120" w:line="276"/>
      </w:pPr>
      <w:r>
        <w:rPr>
          <w:rFonts w:ascii="Calibri" w:cs="Calibri" w:eastAsia="Calibri" w:hAnsi="Calibri"/>
          <w:sz w:val="21"/>
          <w:szCs w:val="21"/>
        </w:rPr>
        <w:t xml:space="preserve">This practical course takes learners from software testing fundamentals to a complete, job-ready QA automation pipeline. Learners design and execute manual tests, automate browser, API, visual and accessibility checks with Playwright and TypeScript, use AI tools responsibly to speed up testing, run tests in Docker and GitHub Actions, and use n8n to orchestrate test runs, triage failures with AI and notify the team. Every learner graduates with a public portfolio project that proves these skills.</w:t>
      </w:r>
    </w:p>
    <w:p>
      <w:pPr>
        <w:pStyle w:val="Heading1"/>
        <w:spacing w:after="120" w:before="320"/>
      </w:pPr>
      <w:r>
        <w:rPr>
          <w:rFonts w:ascii="Calibri" w:cs="Calibri" w:eastAsia="Calibri" w:hAnsi="Calibri"/>
        </w:rPr>
        <w:t xml:space="preserve">Course profile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7336"/>
      </w:tblGrid>
      <w:tr>
        <w:trPr>
          <w:tblHeader/>
        </w:trPr>
        <w:tc>
          <w:tcPr>
            <w:tcW w:type="dxa" w:w="26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Item</w:t>
            </w:r>
          </w:p>
        </w:tc>
        <w:tc>
          <w:tcPr>
            <w:tcW w:type="dxa" w:w="7336"/>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Structure</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Audience</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IT students, fresh graduates, manual testers moving to automation and junior developers</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Level</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Beginner to job-ready junior QA automation engineer</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Start date</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18 October 2026</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Duration</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86 hours over 29 live sessions in 15 weeks</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Schedule</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Thursdays and Saturdays, 6:00–9:00 PM Jordan time (3 hours per session); the final session runs 6:00–8:00 PM</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Teaching approach</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28 hours of instruction and live demonstrations plus 58 hours of guided practice (67% hands-on)</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Format</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Live online on Zoom: instructor-led sessions with hands-on labs on a shared training application</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Fee</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130 JD</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Delivery language</w:t>
            </w:r>
          </w:p>
        </w:tc>
        <w:tc>
          <w:tcPr>
            <w:tcW w:type="dxa" w:w="73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English syllabus and materials; instruction can be adapted to the cohort</w:t>
            </w:r>
          </w:p>
        </w:tc>
      </w:tr>
    </w:tbl>
    <w:p>
      <w:pPr>
        <w:pStyle w:val="Heading1"/>
        <w:spacing w:after="120" w:before="320"/>
      </w:pPr>
      <w:r>
        <w:rPr>
          <w:rFonts w:ascii="Calibri" w:cs="Calibri" w:eastAsia="Calibri" w:hAnsi="Calibri"/>
        </w:rPr>
        <w:t xml:space="preserve">Course design at a glance</w:t>
      </w:r>
    </w:p>
    <w:p>
      <w:pPr>
        <w:spacing w:after="120" w:line="276"/>
      </w:pPr>
      <w:r>
        <w:rPr>
          <w:rFonts w:ascii="Calibri" w:cs="Calibri" w:eastAsia="Calibri" w:hAnsi="Calibri"/>
          <w:sz w:val="21"/>
          <w:szCs w:val="21"/>
        </w:rPr>
        <w:t xml:space="preserve">The course is built around nine quality criteria; each is designed into the modules and assessed through evidence, not attendance.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700"/>
        <w:gridCol w:w="7236"/>
      </w:tblGrid>
      <w:tr>
        <w:trPr>
          <w:tblHeader/>
        </w:trPr>
        <w:tc>
          <w:tcPr>
            <w:tcW w:type="dxa" w:w="27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Criterion</w:t>
            </w:r>
          </w:p>
        </w:tc>
        <w:tc>
          <w:tcPr>
            <w:tcW w:type="dxa" w:w="7236"/>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How this course meets it</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Complete path</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Manual testing, automation, API, visual and accessibility testing, AI-assisted testing, Docker, CI/CD and n8n orchestration in one course</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Hands-on depth</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58 of 86 hours (67%) are guided practice on a realistic training application</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Measurable evidence</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Every module ends with a graded deliverable and four modules end with a checkpoint</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Standards alignment</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Manual testing content is mapped to the ISTQB Certified Tester Foundation Level (CTFL) v4.0 syllabus</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Current tooling</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Playwright with TypeScript, GitHub Actions, Docker, n8n, AI coding assistants and Playwright MCP</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Reliability focus</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Test isolation, flaky-test diagnosis and a requirement of three consecutive clean runs without retries</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Responsible AI</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AI is taught as an assistant: prompting, verification, privacy and its limits are covered and assessed</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Portfolio outcome</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A public GitHub repository with a CI badge, Docker setup, n8n workflow, reports and README</w:t>
            </w:r>
          </w:p>
        </w:tc>
      </w:tr>
      <w:tr>
        <w:trPr>
          <w:cantSplit/>
        </w:trPr>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Career readiness</w:t>
            </w:r>
          </w:p>
        </w:tc>
        <w:tc>
          <w:tcPr>
            <w:tcW w:type="dxa" w:w="7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CV and LinkedIn review, portfolio presentation, interview questions and a live demo</w:t>
            </w:r>
          </w:p>
        </w:tc>
      </w:tr>
    </w:tbl>
    <w:p>
      <w:pPr>
        <w:pStyle w:val="Heading1"/>
        <w:spacing w:after="120" w:before="320"/>
      </w:pPr>
      <w:r>
        <w:rPr>
          <w:rFonts w:ascii="Calibri" w:cs="Calibri" w:eastAsia="Calibri" w:hAnsi="Calibri"/>
        </w:rPr>
        <w:t xml:space="preserve">Entry requirements</w:t>
      </w:r>
    </w:p>
    <w:p>
      <w:pPr>
        <w:spacing w:after="120" w:line="276"/>
      </w:pPr>
      <w:r>
        <w:rPr>
          <w:rFonts w:ascii="Calibri" w:cs="Calibri" w:eastAsia="Calibri" w:hAnsi="Calibri"/>
          <w:sz w:val="21"/>
          <w:szCs w:val="21"/>
        </w:rPr>
        <w:t xml:space="preserve">Learners should be comfortable using a computer, installing software and navigating websites. No previous testing or automation experience is required. Basic programming familiarity helps; the essential JavaScript and TypeScript concepts are taught in Module 2. Learners need a laptop with at least 8 GB of RAM (16 GB recommended for Docker) and a free GitHub account.</w:t>
      </w:r>
    </w:p>
    <w:p>
      <w:pPr>
        <w:pStyle w:val="Heading1"/>
        <w:spacing w:after="120" w:before="320"/>
      </w:pPr>
      <w:r>
        <w:rPr>
          <w:rFonts w:ascii="Calibri" w:cs="Calibri" w:eastAsia="Calibri" w:hAnsi="Calibri"/>
        </w:rPr>
        <w:t xml:space="preserve">Learning outcomes</w:t>
      </w:r>
    </w:p>
    <w:p>
      <w:pPr>
        <w:spacing w:after="120" w:line="276"/>
      </w:pPr>
      <w:r>
        <w:rPr>
          <w:rFonts w:ascii="Calibri" w:cs="Calibri" w:eastAsia="Calibri" w:hAnsi="Calibri"/>
          <w:sz w:val="21"/>
          <w:szCs w:val="21"/>
        </w:rPr>
        <w:t xml:space="preserve">By the end of the course, learners will be able to:</w:t>
      </w:r>
    </w:p>
    <w:p>
      <w:pPr>
        <w:pStyle w:val="ListParagraph"/>
        <w:numPr>
          <w:ilvl w:val="0"/>
          <w:numId w:val="2"/>
        </w:numPr>
        <w:spacing w:after="60"/>
      </w:pPr>
      <w:r>
        <w:rPr>
          <w:rFonts w:ascii="Calibri" w:cs="Calibri" w:eastAsia="Calibri" w:hAnsi="Calibri"/>
          <w:sz w:val="21"/>
          <w:szCs w:val="21"/>
        </w:rPr>
        <w:t xml:space="preserve">Analyze requirements and apply equivalence partitioning, boundary values, decision tables and state transition testing to produce traceable test cases.</w:t>
      </w:r>
    </w:p>
    <w:p>
      <w:pPr>
        <w:pStyle w:val="ListParagraph"/>
        <w:numPr>
          <w:ilvl w:val="0"/>
          <w:numId w:val="2"/>
        </w:numPr>
        <w:spacing w:after="60"/>
      </w:pPr>
      <w:r>
        <w:rPr>
          <w:rFonts w:ascii="Calibri" w:cs="Calibri" w:eastAsia="Calibri" w:hAnsi="Calibri"/>
          <w:sz w:val="21"/>
          <w:szCs w:val="21"/>
        </w:rPr>
        <w:t xml:space="preserve">Plan risk-based testing and write reproducible defect reports with clear evidence.</w:t>
      </w:r>
    </w:p>
    <w:p>
      <w:pPr>
        <w:pStyle w:val="ListParagraph"/>
        <w:numPr>
          <w:ilvl w:val="0"/>
          <w:numId w:val="2"/>
        </w:numPr>
        <w:spacing w:after="60"/>
      </w:pPr>
      <w:r>
        <w:rPr>
          <w:rFonts w:ascii="Calibri" w:cs="Calibri" w:eastAsia="Calibri" w:hAnsi="Calibri"/>
          <w:sz w:val="21"/>
          <w:szCs w:val="21"/>
        </w:rPr>
        <w:t xml:space="preserve">Test web interfaces and REST APIs manually using Chrome DevTools and Postman.</w:t>
      </w:r>
    </w:p>
    <w:p>
      <w:pPr>
        <w:pStyle w:val="ListParagraph"/>
        <w:numPr>
          <w:ilvl w:val="0"/>
          <w:numId w:val="2"/>
        </w:numPr>
        <w:spacing w:after="60"/>
      </w:pPr>
      <w:r>
        <w:rPr>
          <w:rFonts w:ascii="Calibri" w:cs="Calibri" w:eastAsia="Calibri" w:hAnsi="Calibri"/>
          <w:sz w:val="21"/>
          <w:szCs w:val="21"/>
        </w:rPr>
        <w:t xml:space="preserve">Write readable TypeScript and manage an automation project with Git and GitHub.</w:t>
      </w:r>
    </w:p>
    <w:p>
      <w:pPr>
        <w:pStyle w:val="ListParagraph"/>
        <w:numPr>
          <w:ilvl w:val="0"/>
          <w:numId w:val="2"/>
        </w:numPr>
        <w:spacing w:after="60"/>
      </w:pPr>
      <w:r>
        <w:rPr>
          <w:rFonts w:ascii="Calibri" w:cs="Calibri" w:eastAsia="Calibri" w:hAnsi="Calibri"/>
          <w:sz w:val="21"/>
          <w:szCs w:val="21"/>
        </w:rPr>
        <w:t xml:space="preserve">Build maintainable Playwright browser tests using page objects and fixtures.</w:t>
      </w:r>
    </w:p>
    <w:p>
      <w:pPr>
        <w:pStyle w:val="ListParagraph"/>
        <w:numPr>
          <w:ilvl w:val="0"/>
          <w:numId w:val="2"/>
        </w:numPr>
        <w:spacing w:after="60"/>
      </w:pPr>
      <w:r>
        <w:rPr>
          <w:rFonts w:ascii="Calibri" w:cs="Calibri" w:eastAsia="Calibri" w:hAnsi="Calibri"/>
          <w:sz w:val="21"/>
          <w:szCs w:val="21"/>
        </w:rPr>
        <w:t xml:space="preserve">Automate API, visual regression and accessibility checks with Playwright.</w:t>
      </w:r>
    </w:p>
    <w:p>
      <w:pPr>
        <w:pStyle w:val="ListParagraph"/>
        <w:numPr>
          <w:ilvl w:val="0"/>
          <w:numId w:val="2"/>
        </w:numPr>
        <w:spacing w:after="60"/>
      </w:pPr>
      <w:r>
        <w:rPr>
          <w:rFonts w:ascii="Calibri" w:cs="Calibri" w:eastAsia="Calibri" w:hAnsi="Calibri"/>
          <w:sz w:val="21"/>
          <w:szCs w:val="21"/>
        </w:rPr>
        <w:t xml:space="preserve">Diagnose failures and flaky tests using traces, reports, screenshots and logs.</w:t>
      </w:r>
    </w:p>
    <w:p>
      <w:pPr>
        <w:pStyle w:val="ListParagraph"/>
        <w:numPr>
          <w:ilvl w:val="0"/>
          <w:numId w:val="2"/>
        </w:numPr>
        <w:spacing w:after="60"/>
      </w:pPr>
      <w:r>
        <w:rPr>
          <w:rFonts w:ascii="Calibri" w:cs="Calibri" w:eastAsia="Calibri" w:hAnsi="Calibri"/>
          <w:sz w:val="21"/>
          <w:szCs w:val="21"/>
        </w:rPr>
        <w:t xml:space="preserve">Use AI tools to speed up test design, test data and test code, and verify their output critically.</w:t>
      </w:r>
    </w:p>
    <w:p>
      <w:pPr>
        <w:pStyle w:val="ListParagraph"/>
        <w:numPr>
          <w:ilvl w:val="0"/>
          <w:numId w:val="2"/>
        </w:numPr>
        <w:spacing w:after="60"/>
      </w:pPr>
      <w:r>
        <w:rPr>
          <w:rFonts w:ascii="Calibri" w:cs="Calibri" w:eastAsia="Calibri" w:hAnsi="Calibri"/>
          <w:sz w:val="21"/>
          <w:szCs w:val="21"/>
        </w:rPr>
        <w:t xml:space="preserve">Run tests reproducibly in Docker and continuously in a GitHub Actions pipeline.</w:t>
      </w:r>
    </w:p>
    <w:p>
      <w:pPr>
        <w:pStyle w:val="ListParagraph"/>
        <w:numPr>
          <w:ilvl w:val="0"/>
          <w:numId w:val="2"/>
        </w:numPr>
        <w:spacing w:after="60"/>
      </w:pPr>
      <w:r>
        <w:rPr>
          <w:rFonts w:ascii="Calibri" w:cs="Calibri" w:eastAsia="Calibri" w:hAnsi="Calibri"/>
          <w:sz w:val="21"/>
          <w:szCs w:val="21"/>
        </w:rPr>
        <w:t xml:space="preserve">Build n8n workflows that trigger test runs, triage failures with AI and notify stakeholders.</w:t>
      </w:r>
    </w:p>
    <w:p>
      <w:pPr>
        <w:pStyle w:val="ListParagraph"/>
        <w:numPr>
          <w:ilvl w:val="0"/>
          <w:numId w:val="2"/>
        </w:numPr>
        <w:spacing w:after="60"/>
      </w:pPr>
      <w:r>
        <w:rPr>
          <w:rFonts w:ascii="Calibri" w:cs="Calibri" w:eastAsia="Calibri" w:hAnsi="Calibri"/>
          <w:sz w:val="21"/>
          <w:szCs w:val="21"/>
        </w:rPr>
        <w:t xml:space="preserve">Present an integrated QA portfolio project and explain design decisions in an interview.</w:t>
      </w:r>
    </w:p>
    <w:p>
      <w:r>
        <w:br w:type="page"/>
      </w:r>
    </w:p>
    <w:p>
      <w:pPr>
        <w:pStyle w:val="Heading1"/>
        <w:spacing w:after="120" w:before="320"/>
      </w:pPr>
      <w:r>
        <w:rPr>
          <w:rFonts w:ascii="Calibri" w:cs="Calibri" w:eastAsia="Calibri" w:hAnsi="Calibri"/>
        </w:rPr>
        <w:t xml:space="preserve">Module plan and training hours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00"/>
        <w:gridCol w:w="4236"/>
        <w:gridCol w:w="1200"/>
        <w:gridCol w:w="1100"/>
        <w:gridCol w:w="1250"/>
        <w:gridCol w:w="1250"/>
      </w:tblGrid>
      <w:tr>
        <w:trPr>
          <w:tblHeader/>
        </w:trPr>
        <w:tc>
          <w:tcPr>
            <w:tcW w:type="dxa" w:w="9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Module</w:t>
            </w:r>
          </w:p>
        </w:tc>
        <w:tc>
          <w:tcPr>
            <w:tcW w:type="dxa" w:w="4236"/>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Focus</w:t>
            </w:r>
          </w:p>
        </w:tc>
        <w:tc>
          <w:tcPr>
            <w:tcW w:type="dxa" w:w="12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Sessions</w:t>
            </w:r>
          </w:p>
        </w:tc>
        <w:tc>
          <w:tcPr>
            <w:tcW w:type="dxa" w:w="11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Hours</w:t>
            </w:r>
          </w:p>
        </w:tc>
        <w:tc>
          <w:tcPr>
            <w:tcW w:type="dxa" w:w="125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Instruction</w:t>
            </w:r>
          </w:p>
        </w:tc>
        <w:tc>
          <w:tcPr>
            <w:tcW w:type="dxa" w:w="125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Practice</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QA foundations and manual testing</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1–5</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15</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JavaScript, TypeScript and Git essentials</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6–8</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3</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3</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Playwright foundations and browser testing</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9–12</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12</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4</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8</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4</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Reliable tests and framework design</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13–15</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3</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5</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API, visual and accessibility automation</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16–18</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3</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AI-assisted testing</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19–20</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4</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7</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Docker and CI/CD for QA</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21–23</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3</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8</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n8n orchestration and AI failure triage</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24–26</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3</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6</w:t>
            </w:r>
          </w:p>
        </w:tc>
      </w:tr>
      <w:tr>
        <w:trPr>
          <w:cantSplit/>
        </w:trPr>
        <w:tc>
          <w:tcPr>
            <w:tcW w:type="dxa" w:w="9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9</w:t>
            </w:r>
          </w:p>
        </w:tc>
        <w:tc>
          <w:tcPr>
            <w:tcW w:type="dxa" w:w="42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Capstone project and career readiness</w:t>
            </w:r>
          </w:p>
        </w:tc>
        <w:tc>
          <w:tcPr>
            <w:tcW w:type="dxa" w:w="1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27–29</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8</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w:t>
            </w:r>
          </w:p>
        </w:tc>
        <w:tc>
          <w:tcPr>
            <w:tcW w:type="dxa" w:w="125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7</w:t>
            </w:r>
          </w:p>
        </w:tc>
      </w:tr>
      <w:tr>
        <w:trPr>
          <w:cantSplit/>
        </w:trPr>
        <w:tc>
          <w:tcPr>
            <w:tcW w:type="dxa" w:w="900"/>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
            </w:r>
          </w:p>
        </w:tc>
        <w:tc>
          <w:tcPr>
            <w:tcW w:type="dxa" w:w="4236"/>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Total</w:t>
            </w:r>
          </w:p>
        </w:tc>
        <w:tc>
          <w:tcPr>
            <w:tcW w:type="dxa" w:w="1200"/>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29</w:t>
            </w:r>
          </w:p>
        </w:tc>
        <w:tc>
          <w:tcPr>
            <w:tcW w:type="dxa" w:w="1100"/>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86</w:t>
            </w:r>
          </w:p>
        </w:tc>
        <w:tc>
          <w:tcPr>
            <w:tcW w:type="dxa" w:w="1250"/>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28</w:t>
            </w:r>
          </w:p>
        </w:tc>
        <w:tc>
          <w:tcPr>
            <w:tcW w:type="dxa" w:w="1250"/>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58</w:t>
            </w:r>
          </w:p>
        </w:tc>
      </w:tr>
    </w:tbl>
    <w:p>
      <w:pPr>
        <w:spacing w:after="60"/>
      </w:pPr>
    </w:p>
    <w:p>
      <w:pPr>
        <w:spacing w:after="120" w:line="276"/>
      </w:pPr>
      <w:r>
        <w:rPr>
          <w:rFonts w:ascii="Calibri" w:cs="Calibri" w:eastAsia="Calibri" w:hAnsi="Calibri"/>
          <w:sz w:val="21"/>
          <w:szCs w:val="21"/>
        </w:rPr>
        <w:t xml:space="preserve">Sessions 1–28 run for 3 hours each (84 hours) and session 29 runs for 2 hours, for a total of 86 guided hours. All module hours include their labs and assessments. Revision outside class is additional.</w:t>
      </w:r>
    </w:p>
    <w:p>
      <w:pPr>
        <w:pStyle w:val="Heading1"/>
        <w:spacing w:after="120" w:before="320"/>
      </w:pPr>
      <w:r>
        <w:rPr>
          <w:rFonts w:ascii="Calibri" w:cs="Calibri" w:eastAsia="Calibri" w:hAnsi="Calibri"/>
        </w:rPr>
        <w:t xml:space="preserve">Weekly schedule</w:t>
      </w:r>
    </w:p>
    <w:p>
      <w:pPr>
        <w:spacing w:after="120" w:line="276"/>
      </w:pPr>
      <w:r>
        <w:rPr>
          <w:rFonts w:ascii="Calibri" w:cs="Calibri" w:eastAsia="Calibri" w:hAnsi="Calibri"/>
          <w:sz w:val="21"/>
          <w:szCs w:val="21"/>
        </w:rPr>
        <w:t xml:space="preserve">Two sessions per week, Thursday and Saturday, 6:00–9:00 PM. S = session, M = module.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100"/>
        <w:gridCol w:w="4418"/>
        <w:gridCol w:w="4418"/>
      </w:tblGrid>
      <w:tr>
        <w:trPr>
          <w:tblHeader/>
        </w:trPr>
        <w:tc>
          <w:tcPr>
            <w:tcW w:type="dxa" w:w="11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Week</w:t>
            </w:r>
          </w:p>
        </w:tc>
        <w:tc>
          <w:tcPr>
            <w:tcW w:type="dxa" w:w="4418"/>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First class of the week</w:t>
            </w:r>
          </w:p>
        </w:tc>
        <w:tc>
          <w:tcPr>
            <w:tcW w:type="dxa" w:w="4418"/>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Second class of the week</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1</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 (M1): QA fundamentals: testing principles, SDLC and STLC, QA in Agile teams</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 (M1): Requirements, static testing and black-box test design techniques</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2</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S3 (M1): Test scenarios, test cases, risk-based test plan and Jira</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S4 (M1): Exploratory testing, defect reporting and Chrome DevTools</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3</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S5 (M1): Manual API testing with Postman, accessibility basics, Module 1 checkpoint</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S6 (M2): TypeScript basics: variables, types, functions, conditions, loops</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4</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S7 (M2): Objects, arrays, interfaces, modules, JSON, async and await</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S8 (M2): Node.js tooling, npm scripts, Git and GitHub workflow</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5</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S9 (M3): Playwright setup, test structure, UI mode and codegen</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S10 (M3): Locators and web-first assertions</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6</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S11 (M3): Forms, dropdowns, dialogs, uploads, frames and multiple tabs</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S12 (M3): Debugging with Trace Viewer, screenshots and video; Module 3 checkpoint</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7</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S13 (M4): Page Object Model and reusable helpers</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S14 (M4): Fixtures, hooks, authentication state and test-data isolation</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8</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S15 (M4): Tags, projects, parallel workers, retries and flaky-test diagnosis</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S16 (M5): API testing with request context, authentication and schema checks</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9</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S17 (M5): Combined API and UI tests, network mocking and interception</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S18 (M5): Visual regression and automated accessibility scans; Module 5 checkpoint</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10</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S19 (M6): AI for test design and test data: prompt patterns and verification</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S20 (M6): AI coding assistants, Playwright MCP and test agents; limits and privacy</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11</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S21 (M7): Docker essentials: running Playwright in the official image</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S22 (M7): Dockerfile, environment config, report volumes and Docker Compose</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12</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S23 (M7): CI/CD with GitHub Actions: pipeline, artifacts, sharding and secrets</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S24 (M8): n8n fundamentals: self-hosting, triggers, HTTP requests, JSON mapping</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13</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S25 (M8): Orchestrating test runs: trigger, poll, branch on result, notify, error workflow</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S26 (M8): AI failure triage, bug-report drafting and results logging; Module 8 checkpoint</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14</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S27 (M9): Capstone build and peer code review</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S28 (M9): Capstone completion; CV, LinkedIn and interview preparation</w:t>
            </w:r>
          </w:p>
        </w:tc>
      </w:tr>
      <w:tr>
        <w:trPr>
          <w:cantSplit/>
        </w:trPr>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Week 15</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S29 (M9): Capstone demonstrations and graduation (2 hours, 6:00–8:00 PM)</w:t>
            </w:r>
          </w:p>
        </w:tc>
        <w:tc>
          <w:tcPr>
            <w:tcW w:type="dxa" w:w="4418"/>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w:t>
            </w:r>
          </w:p>
        </w:tc>
      </w:tr>
    </w:tbl>
    <w:p>
      <w:pPr>
        <w:pStyle w:val="Heading1"/>
        <w:spacing w:after="120" w:before="320"/>
      </w:pPr>
      <w:r>
        <w:rPr>
          <w:rFonts w:ascii="Calibri" w:cs="Calibri" w:eastAsia="Calibri" w:hAnsi="Calibri"/>
        </w:rPr>
        <w:t xml:space="preserve">Detailed curriculum</w:t>
      </w:r>
    </w:p>
    <w:p>
      <w:pPr>
        <w:pStyle w:val="Heading2"/>
        <w:spacing w:after="80" w:before="240"/>
      </w:pPr>
      <w:r>
        <w:rPr>
          <w:rFonts w:ascii="Calibri" w:cs="Calibri" w:eastAsia="Calibri" w:hAnsi="Calibri"/>
        </w:rPr>
        <w:t xml:space="preserve">Module 1: QA foundations and manual testing (15 hours, sessions 1–5)</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Why testing matters and the seven testing principles; SDLC and STLC; QA roles in Agile and Scrum; test levels and test types; static testing and requirement reviews; user stories and acceptance criteria; equivalence partitioning, boundary value analysis, decision tables and state transition testing; exploratory and experience-based testing; risk-based test planning and traceability; defect life cycle, severity and priority; Jira; Chrome DevTools (elements, console, network); manual REST API testing with Postman; accessibility and responsive-design basics.</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Review the requirements of the training application, find ambiguities, design test cases with each technique, run an exploratory session, log defects in Jira and build a Postman collection.</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Risk-based test plan, at least 25 traceable test cases, 3 reproducible defect reports with evidence, and a Postman collection.</w:t>
      </w:r>
    </w:p>
    <w:p>
      <w:pPr>
        <w:pStyle w:val="Heading2"/>
        <w:spacing w:after="80" w:before="240"/>
      </w:pPr>
      <w:r>
        <w:rPr>
          <w:rFonts w:ascii="Calibri" w:cs="Calibri" w:eastAsia="Calibri" w:hAnsi="Calibri"/>
        </w:rPr>
        <w:t xml:space="preserve">Module 2: JavaScript, TypeScript and Git essentials (9 hours, sessions 6–8)</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Variables, types, objects, arrays, functions, conditions, loops, modules, interfaces, JSON, promises, async and await, error handling, Node.js and npm scripts, Git commits, branches, pull requests and GitHub.</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Write typed test-data helpers, read JSON data, handle asynchronous operations and submit the work through a GitHub pull request.</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A versioned TypeScript exercise with meaningful commits and working npm scripts.</w:t>
      </w:r>
    </w:p>
    <w:p>
      <w:pPr>
        <w:pStyle w:val="Heading2"/>
        <w:spacing w:after="80" w:before="240"/>
      </w:pPr>
      <w:r>
        <w:rPr>
          <w:rFonts w:ascii="Calibri" w:cs="Calibri" w:eastAsia="Calibri" w:hAnsi="Calibri"/>
        </w:rPr>
        <w:t xml:space="preserve">Module 3: Playwright foundations and browser testing (12 hours, sessions 9–12)</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Project setup and configuration; test structure; browsers, contexts and pages; role, label and test-id locators; web-first assertions and auto-waiting; navigation, forms, dropdowns, dialogs, uploads, frames and multiple tabs; UI mode and codegen; Trace Viewer, screenshots and video; headed and headless execution.</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Automate login, form validation and the main purchase journey of the training application; inspect and fix a failing run with Trace Viewer.</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A browser test suite with positive and negative scenarios and an HTML report.</w:t>
      </w:r>
    </w:p>
    <w:p>
      <w:pPr>
        <w:pStyle w:val="Heading2"/>
        <w:spacing w:after="80" w:before="240"/>
      </w:pPr>
      <w:r>
        <w:rPr>
          <w:rFonts w:ascii="Calibri" w:cs="Calibri" w:eastAsia="Calibri" w:hAnsi="Calibri"/>
        </w:rPr>
        <w:t xml:space="preserve">Module 4: Reliable tests and framework design (9 hours, sessions 13–15)</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Page Object Model; fixtures and hooks; reusable helpers; authentication state; test-data setup and cleanup; test isolation; tags and browser projects; parallel workers; retries; diagnosing and removing flaky tests.</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Refactor the suite into page objects and fixtures, reuse authentication safely, isolate test data and remove a timing-related failure.</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An organized framework whose tests pass independently, in parallel and across three consecutive runs without retries.</w:t>
      </w:r>
    </w:p>
    <w:p>
      <w:pPr>
        <w:pStyle w:val="Heading2"/>
        <w:spacing w:after="80" w:before="240"/>
      </w:pPr>
      <w:r>
        <w:rPr>
          <w:rFonts w:ascii="Calibri" w:cs="Calibri" w:eastAsia="Calibri" w:hAnsi="Calibri"/>
        </w:rPr>
        <w:t xml:space="preserve">Module 5: API, visual and accessibility automation (9 hours, sessions 16–18)</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HTTP methods, status codes, headers and authentication; Playwright request context; response and schema assertions; negative API cases; API setup with UI verification; network mocking and interception; visual comparisons; automated accessibility scanning with axe-core.</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Create test data through the API, verify it in the browser, mock a failing backend response, add a visual baseline and an accessibility scan.</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API tests, a combined API and UI test, one visual check, one accessibility scan and a short failure investigation.</w:t>
      </w:r>
    </w:p>
    <w:p>
      <w:pPr>
        <w:pStyle w:val="Heading2"/>
        <w:spacing w:after="80" w:before="240"/>
      </w:pPr>
      <w:r>
        <w:rPr>
          <w:rFonts w:ascii="Calibri" w:cs="Calibri" w:eastAsia="Calibri" w:hAnsi="Calibri"/>
        </w:rPr>
        <w:t xml:space="preserve">Module 6: AI-assisted testing (6 hours, sessions 19–20)</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Where AI helps in QA and where it does not; prompt patterns for deriving test ideas from requirements; generating realistic test data; using AI coding assistants to draft and refactor Playwright code; Playwright MCP and Playwright test agents for exploration and test generation; reviewing AI output for wrong locators, weak assertions and missing cases; data privacy and keeping secrets out of prompts.</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Generate test ideas for a user story with AI and compare them with the technique-based cases from Module 1; use an AI assistant to scaffold a page object, then review, correct and harden it.</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An AI-use log recording prompts, outputs, what was accepted or rejected and why, plus the corrected code.</w:t>
      </w:r>
    </w:p>
    <w:p>
      <w:pPr>
        <w:pStyle w:val="Heading2"/>
        <w:spacing w:after="80" w:before="240"/>
      </w:pPr>
      <w:r>
        <w:rPr>
          <w:rFonts w:ascii="Calibri" w:cs="Calibri" w:eastAsia="Calibri" w:hAnsi="Calibri"/>
        </w:rPr>
        <w:t xml:space="preserve">Module 7: Docker and CI/CD for QA (9 hours, sessions 21–23)</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Images, containers and volumes; the official Playwright Docker image; Dockerfiles; browser dependencies; environment variables; preserving reports; exit codes; container networking; Docker Compose; GitHub Actions workflows, triggers, artifacts, secrets, test sharding and status badges.</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Build a test-runner image, run the suite against a containerized training service and add a GitHub Actions pipeline that runs on every push and publishes the HTML report.</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Dockerfile, Compose file, a passing CI pipeline with report artifacts and a status badge in the README.</w:t>
      </w:r>
    </w:p>
    <w:p>
      <w:pPr>
        <w:pStyle w:val="Heading2"/>
        <w:spacing w:after="80" w:before="240"/>
      </w:pPr>
      <w:r>
        <w:rPr>
          <w:rFonts w:ascii="Calibri" w:cs="Calibri" w:eastAsia="Calibri" w:hAnsi="Calibri"/>
        </w:rPr>
        <w:t xml:space="preserve">Module 8: n8n orchestration and AI failure triage (9 hours, sessions 24–26)</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Self-hosting n8n with Docker; workflow concepts; manual, scheduled and webhook triggers; HTTP Request node; JSON mapping; IF and Switch branches; credentials; error workflows; duplicate requests and bounded retries; notifications by Telegram, Slack or email; logging results to Google Sheets; an AI node that classifies failures as product bug, flaky test or environment issue and drafts a bug report for human approval.</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Trigger a test run, poll its status, process the result summary, send distinct pass, fail and infrastructure-error notifications and add AI triage of failures.</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An exported n8n workflow and evidence of correctly handled success, failure and error paths.</w:t>
      </w:r>
    </w:p>
    <w:p>
      <w:pPr>
        <w:pStyle w:val="Heading2"/>
        <w:spacing w:after="80" w:before="240"/>
      </w:pPr>
      <w:r>
        <w:rPr>
          <w:rFonts w:ascii="Calibri" w:cs="Calibri" w:eastAsia="Calibri" w:hAnsi="Calibri"/>
        </w:rPr>
        <w:t xml:space="preserve">Module 9: Capstone project and career readiness (8 hours, sessions 27–29)</w:t>
      </w:r>
    </w:p>
    <w:p>
      <w:pPr>
        <w:spacing w:after="120" w:line="276"/>
      </w:pPr>
      <w:r>
        <w:rPr>
          <w:rFonts w:ascii="Calibri" w:cs="Calibri" w:eastAsia="Calibri" w:hAnsi="Calibri"/>
          <w:b/>
          <w:bCs/>
          <w:sz w:val="21"/>
          <w:szCs w:val="21"/>
        </w:rPr>
        <w:t xml:space="preserve">Topics: </w:t>
      </w:r>
      <w:r>
        <w:rPr>
          <w:rFonts w:ascii="Calibri" w:cs="Calibri" w:eastAsia="Calibri" w:hAnsi="Calibri"/>
          <w:sz w:val="21"/>
          <w:szCs w:val="21"/>
        </w:rPr>
        <w:t xml:space="preserve">Integrating all components; operational debugging; documentation; coverage review; presenting results; QA CV and LinkedIn profile; GitHub portfolio presentation; common manual and automation interview questions; next steps toward ISTQB Foundation certification.</w:t>
      </w:r>
    </w:p>
    <w:p>
      <w:pPr>
        <w:spacing w:after="120" w:line="276"/>
      </w:pPr>
      <w:r>
        <w:rPr>
          <w:rFonts w:ascii="Calibri" w:cs="Calibri" w:eastAsia="Calibri" w:hAnsi="Calibri"/>
          <w:b/>
          <w:bCs/>
          <w:sz w:val="21"/>
          <w:szCs w:val="21"/>
        </w:rPr>
        <w:t xml:space="preserve">Practical lab: </w:t>
      </w:r>
      <w:r>
        <w:rPr>
          <w:rFonts w:ascii="Calibri" w:cs="Calibri" w:eastAsia="Calibri" w:hAnsi="Calibri"/>
          <w:sz w:val="21"/>
          <w:szCs w:val="21"/>
        </w:rPr>
        <w:t xml:space="preserve">Complete the capstone, pass a peer code review, then present a live passing run and an intentional failure with its evidence.</w:t>
      </w:r>
    </w:p>
    <w:p>
      <w:pPr>
        <w:spacing w:after="120" w:line="276"/>
      </w:pPr>
      <w:r>
        <w:rPr>
          <w:rFonts w:ascii="Calibri" w:cs="Calibri" w:eastAsia="Calibri" w:hAnsi="Calibri"/>
          <w:b/>
          <w:bCs/>
          <w:sz w:val="21"/>
          <w:szCs w:val="21"/>
        </w:rPr>
        <w:t xml:space="preserve">Evidence of learning: </w:t>
      </w:r>
      <w:r>
        <w:rPr>
          <w:rFonts w:ascii="Calibri" w:cs="Calibri" w:eastAsia="Calibri" w:hAnsi="Calibri"/>
          <w:sz w:val="21"/>
          <w:szCs w:val="21"/>
        </w:rPr>
        <w:t xml:space="preserve">Git repository, CI pipeline, Docker configuration, n8n export, test evidence, updated CV and a live demonstration.</w:t>
      </w:r>
    </w:p>
    <w:p>
      <w:pPr>
        <w:pStyle w:val="Heading1"/>
        <w:spacing w:after="120" w:before="320"/>
      </w:pPr>
      <w:r>
        <w:rPr>
          <w:rFonts w:ascii="Calibri" w:cs="Calibri" w:eastAsia="Calibri" w:hAnsi="Calibri"/>
        </w:rPr>
        <w:t xml:space="preserve">Integration design</w:t>
      </w:r>
    </w:p>
    <w:p>
      <w:pPr>
        <w:spacing w:after="120" w:line="276"/>
      </w:pPr>
      <w:r>
        <w:rPr>
          <w:rFonts w:ascii="Calibri" w:cs="Calibri" w:eastAsia="Calibri" w:hAnsi="Calibri"/>
          <w:sz w:val="21"/>
          <w:szCs w:val="21"/>
        </w:rPr>
        <w:t xml:space="preserve">The capstone connects every tool the way a real QA team would. n8n receives a webhook or scheduled trigger and calls a small instructor-provided test-runner HTTP service. The runner starts the containerized Playwright suite and exposes a run identifier, status, summary and report location. The same suite also runs in GitHub Actions on every push. When tests fail, n8n sends the failure details to an AI step that classifies the cause and drafts a bug report, which a person reviews before it is filed. Playwright holds all browser and API assertions; n8n handles orchestration, triage and notifications. Building the runner service is optional extension work.</w:t>
      </w:r>
    </w:p>
    <w:p>
      <w:pPr>
        <w:pStyle w:val="Heading1"/>
        <w:spacing w:after="120" w:before="320"/>
      </w:pPr>
      <w:r>
        <w:rPr>
          <w:rFonts w:ascii="Calibri" w:cs="Calibri" w:eastAsia="Calibri" w:hAnsi="Calibri"/>
        </w:rPr>
        <w:t xml:space="preserve">ISTQB CTFL v4.0 alignment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0"/>
        <w:gridCol w:w="5736"/>
      </w:tblGrid>
      <w:tr>
        <w:trPr>
          <w:tblHeader/>
        </w:trPr>
        <w:tc>
          <w:tcPr>
            <w:tcW w:type="dxa" w:w="42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CTFL v4.0 chapter</w:t>
            </w:r>
          </w:p>
        </w:tc>
        <w:tc>
          <w:tcPr>
            <w:tcW w:type="dxa" w:w="5736"/>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Where it is covered</w:t>
            </w:r>
          </w:p>
        </w:tc>
      </w:tr>
      <w:tr>
        <w:trPr>
          <w:cantSplit/>
        </w:trPr>
        <w:tc>
          <w:tcPr>
            <w:tcW w:type="dxa" w:w="4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1. Fundamentals of Testing</w:t>
            </w:r>
          </w:p>
        </w:tc>
        <w:tc>
          <w:tcPr>
            <w:tcW w:type="dxa" w:w="57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Module 1, session 1</w:t>
            </w:r>
          </w:p>
        </w:tc>
      </w:tr>
      <w:tr>
        <w:trPr>
          <w:cantSplit/>
        </w:trPr>
        <w:tc>
          <w:tcPr>
            <w:tcW w:type="dxa" w:w="4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2. Testing Throughout the SDLC</w:t>
            </w:r>
          </w:p>
        </w:tc>
        <w:tc>
          <w:tcPr>
            <w:tcW w:type="dxa" w:w="57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Module 1, sessions 1–2; Module 7 (CI/CD)</w:t>
            </w:r>
          </w:p>
        </w:tc>
      </w:tr>
      <w:tr>
        <w:trPr>
          <w:cantSplit/>
        </w:trPr>
        <w:tc>
          <w:tcPr>
            <w:tcW w:type="dxa" w:w="4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3. Static Testing</w:t>
            </w:r>
          </w:p>
        </w:tc>
        <w:tc>
          <w:tcPr>
            <w:tcW w:type="dxa" w:w="57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Module 1, session 2</w:t>
            </w:r>
          </w:p>
        </w:tc>
      </w:tr>
      <w:tr>
        <w:trPr>
          <w:cantSplit/>
        </w:trPr>
        <w:tc>
          <w:tcPr>
            <w:tcW w:type="dxa" w:w="4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4. Test Analysis and Design</w:t>
            </w:r>
          </w:p>
        </w:tc>
        <w:tc>
          <w:tcPr>
            <w:tcW w:type="dxa" w:w="57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Module 1, sessions 2–4; Module 6</w:t>
            </w:r>
          </w:p>
        </w:tc>
      </w:tr>
      <w:tr>
        <w:trPr>
          <w:cantSplit/>
        </w:trPr>
        <w:tc>
          <w:tcPr>
            <w:tcW w:type="dxa" w:w="4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5. Managing the Test Activities</w:t>
            </w:r>
          </w:p>
        </w:tc>
        <w:tc>
          <w:tcPr>
            <w:tcW w:type="dxa" w:w="57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Module 1, sessions 3–4; Module 8 (defect triage)</w:t>
            </w:r>
          </w:p>
        </w:tc>
      </w:tr>
      <w:tr>
        <w:trPr>
          <w:cantSplit/>
        </w:trPr>
        <w:tc>
          <w:tcPr>
            <w:tcW w:type="dxa" w:w="42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6. Test Tools</w:t>
            </w:r>
          </w:p>
        </w:tc>
        <w:tc>
          <w:tcPr>
            <w:tcW w:type="dxa" w:w="57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Modules 3–8</w:t>
            </w:r>
          </w:p>
        </w:tc>
      </w:tr>
    </w:tbl>
    <w:p>
      <w:pPr>
        <w:spacing w:after="60"/>
      </w:pPr>
    </w:p>
    <w:p>
      <w:pPr>
        <w:spacing w:after="120" w:line="276"/>
      </w:pPr>
      <w:r>
        <w:rPr>
          <w:rFonts w:ascii="Calibri" w:cs="Calibri" w:eastAsia="Calibri" w:hAnsi="Calibri"/>
          <w:sz w:val="21"/>
          <w:szCs w:val="21"/>
        </w:rPr>
        <w:t xml:space="preserve">The course prepares learners for the ISTQB Foundation exam topics; the exam itself is taken separately and is not included in the course.</w:t>
      </w:r>
    </w:p>
    <w:p>
      <w:pPr>
        <w:pStyle w:val="Heading1"/>
        <w:spacing w:after="120" w:before="320"/>
      </w:pPr>
      <w:r>
        <w:rPr>
          <w:rFonts w:ascii="Calibri" w:cs="Calibri" w:eastAsia="Calibri" w:hAnsi="Calibri"/>
        </w:rPr>
        <w:t xml:space="preserve">Assessment and final project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6036"/>
      </w:tblGrid>
      <w:tr>
        <w:trPr>
          <w:tblHeader/>
        </w:trPr>
        <w:tc>
          <w:tcPr>
            <w:tcW w:type="dxa" w:w="26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Assessment</w:t>
            </w:r>
          </w:p>
        </w:tc>
        <w:tc>
          <w:tcPr>
            <w:tcW w:type="dxa" w:w="13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Weight</w:t>
            </w:r>
          </w:p>
        </w:tc>
        <w:tc>
          <w:tcPr>
            <w:tcW w:type="dxa" w:w="6036"/>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Evidence</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Module labs and checkpoints</w:t>
            </w:r>
          </w:p>
        </w:tc>
        <w:tc>
          <w:tcPr>
            <w:tcW w:type="dxa" w:w="13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40%</w:t>
            </w:r>
          </w:p>
        </w:tc>
        <w:tc>
          <w:tcPr>
            <w:tcW w:type="dxa" w:w="60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Practical submissions from Modules 1–8 and four module checkpoints</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Knowledge checks</w:t>
            </w:r>
          </w:p>
        </w:tc>
        <w:tc>
          <w:tcPr>
            <w:tcW w:type="dxa" w:w="13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10%</w:t>
            </w:r>
          </w:p>
        </w:tc>
        <w:tc>
          <w:tcPr>
            <w:tcW w:type="dxa" w:w="60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Short quizzes and explanations of core concepts</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Final project</w:t>
            </w:r>
          </w:p>
        </w:tc>
        <w:tc>
          <w:tcPr>
            <w:tcW w:type="dxa" w:w="13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40%</w:t>
            </w:r>
          </w:p>
        </w:tc>
        <w:tc>
          <w:tcPr>
            <w:tcW w:type="dxa" w:w="60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Integrated implementation with documented test evidence</w:t>
            </w:r>
          </w:p>
        </w:tc>
      </w:tr>
      <w:tr>
        <w:trPr>
          <w:cantSplit/>
        </w:trPr>
        <w:tc>
          <w:tcPr>
            <w:tcW w:type="dxa" w:w="26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Demonstration</w:t>
            </w:r>
          </w:p>
        </w:tc>
        <w:tc>
          <w:tcPr>
            <w:tcW w:type="dxa" w:w="13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10%</w:t>
            </w:r>
          </w:p>
        </w:tc>
        <w:tc>
          <w:tcPr>
            <w:tcW w:type="dxa" w:w="60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sz w:val="19"/>
                <w:szCs w:val="19"/>
              </w:rPr>
              <w:t xml:space="preserve">Live walkthrough and explanation of design choices</w:t>
            </w:r>
          </w:p>
        </w:tc>
      </w:tr>
    </w:tbl>
    <w:p>
      <w:pPr>
        <w:pStyle w:val="Heading2"/>
        <w:spacing w:after="80" w:before="240"/>
      </w:pPr>
      <w:r>
        <w:rPr>
          <w:rFonts w:ascii="Calibri" w:cs="Calibri" w:eastAsia="Calibri" w:hAnsi="Calibri"/>
        </w:rPr>
        <w:t xml:space="preserve">Final project requirements</w:t>
      </w:r>
    </w:p>
    <w:p>
      <w:pPr>
        <w:pStyle w:val="ListParagraph"/>
        <w:numPr>
          <w:ilvl w:val="0"/>
          <w:numId w:val="3"/>
        </w:numPr>
        <w:spacing w:after="60"/>
      </w:pPr>
      <w:r>
        <w:rPr>
          <w:rFonts w:ascii="Calibri" w:cs="Calibri" w:eastAsia="Calibri" w:hAnsi="Calibri"/>
          <w:sz w:val="21"/>
          <w:szCs w:val="21"/>
        </w:rPr>
        <w:t xml:space="preserve">A risk-based test plan, at least 20 manual test cases traced to requirements and at least 3 reproducible defect reports.</w:t>
      </w:r>
    </w:p>
    <w:p>
      <w:pPr>
        <w:pStyle w:val="ListParagraph"/>
        <w:numPr>
          <w:ilvl w:val="0"/>
          <w:numId w:val="3"/>
        </w:numPr>
        <w:spacing w:after="60"/>
      </w:pPr>
      <w:r>
        <w:rPr>
          <w:rFonts w:ascii="Calibri" w:cs="Calibri" w:eastAsia="Calibri" w:hAnsi="Calibri"/>
          <w:sz w:val="21"/>
          <w:szCs w:val="21"/>
        </w:rPr>
        <w:t xml:space="preserve">At least 20 automated tests: at least 14 browser tests and 6 API tests, with positive and negative scenarios, one visual check and one accessibility scan.</w:t>
      </w:r>
    </w:p>
    <w:p>
      <w:pPr>
        <w:pStyle w:val="ListParagraph"/>
        <w:numPr>
          <w:ilvl w:val="0"/>
          <w:numId w:val="3"/>
        </w:numPr>
        <w:spacing w:after="60"/>
      </w:pPr>
      <w:r>
        <w:rPr>
          <w:rFonts w:ascii="Calibri" w:cs="Calibri" w:eastAsia="Calibri" w:hAnsi="Calibri"/>
          <w:sz w:val="21"/>
          <w:szCs w:val="21"/>
        </w:rPr>
        <w:t xml:space="preserve">TypeScript with page objects or fixtures and isolated test data; the suite passes three consecutive runs without retries.</w:t>
      </w:r>
    </w:p>
    <w:p>
      <w:pPr>
        <w:pStyle w:val="ListParagraph"/>
        <w:numPr>
          <w:ilvl w:val="0"/>
          <w:numId w:val="3"/>
        </w:numPr>
        <w:spacing w:after="60"/>
      </w:pPr>
      <w:r>
        <w:rPr>
          <w:rFonts w:ascii="Calibri" w:cs="Calibri" w:eastAsia="Calibri" w:hAnsi="Calibri"/>
          <w:sz w:val="21"/>
          <w:szCs w:val="21"/>
        </w:rPr>
        <w:t xml:space="preserve">The suite runs in Docker and in a GitHub Actions pipeline on every push, with the HTML report published as an artifact and a status badge in the README.</w:t>
      </w:r>
    </w:p>
    <w:p>
      <w:pPr>
        <w:pStyle w:val="ListParagraph"/>
        <w:numPr>
          <w:ilvl w:val="0"/>
          <w:numId w:val="3"/>
        </w:numPr>
        <w:spacing w:after="60"/>
      </w:pPr>
      <w:r>
        <w:rPr>
          <w:rFonts w:ascii="Calibri" w:cs="Calibri" w:eastAsia="Calibri" w:hAnsi="Calibri"/>
          <w:sz w:val="21"/>
          <w:szCs w:val="21"/>
        </w:rPr>
        <w:t xml:space="preserve">An n8n workflow with webhook and scheduled triggers that distinguishes passed tests, failed tests and infrastructure errors, uses AI to triage failures, and sends a notification with the run identifier and report link.</w:t>
      </w:r>
    </w:p>
    <w:p>
      <w:pPr>
        <w:pStyle w:val="ListParagraph"/>
        <w:numPr>
          <w:ilvl w:val="0"/>
          <w:numId w:val="3"/>
        </w:numPr>
        <w:spacing w:after="60"/>
      </w:pPr>
      <w:r>
        <w:rPr>
          <w:rFonts w:ascii="Calibri" w:cs="Calibri" w:eastAsia="Calibri" w:hAnsi="Calibri"/>
          <w:sz w:val="21"/>
          <w:szCs w:val="21"/>
        </w:rPr>
        <w:t xml:space="preserve">An AI-use log showing where AI was used, what it produced and what was corrected.</w:t>
      </w:r>
    </w:p>
    <w:p>
      <w:pPr>
        <w:pStyle w:val="ListParagraph"/>
        <w:numPr>
          <w:ilvl w:val="0"/>
          <w:numId w:val="3"/>
        </w:numPr>
        <w:spacing w:after="60"/>
      </w:pPr>
      <w:r>
        <w:rPr>
          <w:rFonts w:ascii="Calibri" w:cs="Calibri" w:eastAsia="Calibri" w:hAnsi="Calibri"/>
          <w:sz w:val="21"/>
          <w:szCs w:val="21"/>
        </w:rPr>
        <w:t xml:space="preserve">A README, setup configuration, clean Git history, workflow export and sample reports, with no credentials in submitted files.</w:t>
      </w:r>
    </w:p>
    <w:p>
      <w:pPr>
        <w:pStyle w:val="ListParagraph"/>
        <w:numPr>
          <w:ilvl w:val="0"/>
          <w:numId w:val="3"/>
        </w:numPr>
        <w:spacing w:after="60"/>
      </w:pPr>
      <w:r>
        <w:rPr>
          <w:rFonts w:ascii="Calibri" w:cs="Calibri" w:eastAsia="Calibri" w:hAnsi="Calibri"/>
          <w:sz w:val="21"/>
          <w:szCs w:val="21"/>
        </w:rPr>
        <w:t xml:space="preserve">A live demonstration of a passing run and an intentional failure, with an explanation of the evidence.</w:t>
      </w:r>
    </w:p>
    <w:p>
      <w:pPr>
        <w:pStyle w:val="Heading2"/>
        <w:spacing w:after="80" w:before="240"/>
      </w:pPr>
      <w:r>
        <w:rPr>
          <w:rFonts w:ascii="Calibri" w:cs="Calibri" w:eastAsia="Calibri" w:hAnsi="Calibri"/>
        </w:rPr>
        <w:t xml:space="preserve">Final project rubric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6936"/>
        <w:gridCol w:w="3000"/>
      </w:tblGrid>
      <w:tr>
        <w:trPr>
          <w:tblHeader/>
        </w:trPr>
        <w:tc>
          <w:tcPr>
            <w:tcW w:type="dxa" w:w="6936"/>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Criterion</w:t>
            </w:r>
          </w:p>
        </w:tc>
        <w:tc>
          <w:tcPr>
            <w:tcW w:type="dxa" w:w="3000"/>
            <w:tcBorders>
              <w:top w:val="single" w:color="C9D1DA" w:sz="4"/>
              <w:left w:val="single" w:color="C9D1DA" w:sz="4"/>
              <w:bottom w:val="single" w:color="C9D1DA" w:sz="4"/>
              <w:right w:val="single" w:color="C9D1DA" w:sz="4"/>
            </w:tcBorders>
            <w:shd w:fill="E8EDF2" w:color="auto" w:val="clear"/>
            <w:tcMar>
              <w:top w:type="dxa" w:w="70"/>
              <w:left w:type="dxa" w:w="110"/>
              <w:bottom w:type="dxa" w:w="70"/>
              <w:right w:type="dxa" w:w="110"/>
            </w:tcMar>
          </w:tcPr>
          <w:p>
            <w:r>
              <w:rPr>
                <w:rFonts w:ascii="Calibri" w:cs="Calibri" w:eastAsia="Calibri" w:hAnsi="Calibri"/>
                <w:b/>
                <w:bCs/>
                <w:sz w:val="19"/>
                <w:szCs w:val="19"/>
              </w:rPr>
              <w:t xml:space="preserve">Share of final project mark</w:t>
            </w:r>
          </w:p>
        </w:tc>
      </w:tr>
      <w:tr>
        <w:trPr>
          <w:cantSplit/>
        </w:trPr>
        <w:tc>
          <w:tcPr>
            <w:tcW w:type="dxa" w:w="69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Automated test quality and coverage</w:t>
            </w:r>
          </w:p>
        </w:tc>
        <w:tc>
          <w:tcPr>
            <w:tcW w:type="dxa" w:w="30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25%</w:t>
            </w:r>
          </w:p>
        </w:tc>
      </w:tr>
      <w:tr>
        <w:trPr>
          <w:cantSplit/>
        </w:trPr>
        <w:tc>
          <w:tcPr>
            <w:tcW w:type="dxa" w:w="69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Framework organization and reliability</w:t>
            </w:r>
          </w:p>
        </w:tc>
        <w:tc>
          <w:tcPr>
            <w:tcW w:type="dxa" w:w="30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20%</w:t>
            </w:r>
          </w:p>
        </w:tc>
      </w:tr>
      <w:tr>
        <w:trPr>
          <w:cantSplit/>
        </w:trPr>
        <w:tc>
          <w:tcPr>
            <w:tcW w:type="dxa" w:w="69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n8n integration, AI triage and error handling</w:t>
            </w:r>
          </w:p>
        </w:tc>
        <w:tc>
          <w:tcPr>
            <w:tcW w:type="dxa" w:w="30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20%</w:t>
            </w:r>
          </w:p>
        </w:tc>
      </w:tr>
      <w:tr>
        <w:trPr>
          <w:cantSplit/>
        </w:trPr>
        <w:tc>
          <w:tcPr>
            <w:tcW w:type="dxa" w:w="69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Docker and CI/CD execution</w:t>
            </w:r>
          </w:p>
        </w:tc>
        <w:tc>
          <w:tcPr>
            <w:tcW w:type="dxa" w:w="30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15%</w:t>
            </w:r>
          </w:p>
        </w:tc>
      </w:tr>
      <w:tr>
        <w:trPr>
          <w:cantSplit/>
        </w:trPr>
        <w:tc>
          <w:tcPr>
            <w:tcW w:type="dxa" w:w="69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Manual test artifacts (plan, cases, defects)</w:t>
            </w:r>
          </w:p>
        </w:tc>
        <w:tc>
          <w:tcPr>
            <w:tcW w:type="dxa" w:w="30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10%</w:t>
            </w:r>
          </w:p>
        </w:tc>
      </w:tr>
      <w:tr>
        <w:trPr>
          <w:cantSplit/>
        </w:trPr>
        <w:tc>
          <w:tcPr>
            <w:tcW w:type="dxa" w:w="6936"/>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Documentation and reproducibility</w:t>
            </w:r>
          </w:p>
        </w:tc>
        <w:tc>
          <w:tcPr>
            <w:tcW w:type="dxa" w:w="3000"/>
            <w:tcBorders>
              <w:top w:val="single" w:color="C9D1DA" w:sz="4"/>
              <w:left w:val="single" w:color="C9D1DA" w:sz="4"/>
              <w:bottom w:val="single" w:color="C9D1DA" w:sz="4"/>
              <w:right w:val="single" w:color="C9D1DA" w:sz="4"/>
            </w:tcBorders>
            <w:tcMar>
              <w:top w:type="dxa" w:w="70"/>
              <w:left w:type="dxa" w:w="110"/>
              <w:bottom w:type="dxa" w:w="70"/>
              <w:right w:type="dxa" w:w="110"/>
            </w:tcMar>
          </w:tcPr>
          <w:p>
            <w:r>
              <w:rPr>
                <w:rFonts w:ascii="Calibri" w:cs="Calibri" w:eastAsia="Calibri" w:hAnsi="Calibri"/>
                <w:b w:val="false"/>
                <w:bCs w:val="false"/>
                <w:sz w:val="19"/>
                <w:szCs w:val="19"/>
              </w:rPr>
              <w:t xml:space="preserve">10%</w:t>
            </w:r>
          </w:p>
        </w:tc>
      </w:tr>
      <w:tr>
        <w:trPr>
          <w:cantSplit/>
        </w:trPr>
        <w:tc>
          <w:tcPr>
            <w:tcW w:type="dxa" w:w="6936"/>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Total</w:t>
            </w:r>
          </w:p>
        </w:tc>
        <w:tc>
          <w:tcPr>
            <w:tcW w:type="dxa" w:w="3000"/>
            <w:tcBorders>
              <w:top w:val="single" w:color="C9D1DA" w:sz="4"/>
              <w:left w:val="single" w:color="C9D1DA" w:sz="4"/>
              <w:bottom w:val="single" w:color="C9D1DA" w:sz="4"/>
              <w:right w:val="single" w:color="C9D1DA" w:sz="4"/>
            </w:tcBorders>
            <w:shd w:fill="F4F6F8" w:color="auto" w:val="clear"/>
            <w:tcMar>
              <w:top w:type="dxa" w:w="70"/>
              <w:left w:type="dxa" w:w="110"/>
              <w:bottom w:type="dxa" w:w="70"/>
              <w:right w:type="dxa" w:w="110"/>
            </w:tcMar>
          </w:tcPr>
          <w:p>
            <w:r>
              <w:rPr>
                <w:rFonts w:ascii="Calibri" w:cs="Calibri" w:eastAsia="Calibri" w:hAnsi="Calibri"/>
                <w:b/>
                <w:bCs/>
                <w:sz w:val="19"/>
                <w:szCs w:val="19"/>
              </w:rPr>
              <w:t xml:space="preserve">100%</w:t>
            </w:r>
          </w:p>
        </w:tc>
      </w:tr>
    </w:tbl>
    <w:p>
      <w:pPr>
        <w:pStyle w:val="Heading2"/>
        <w:spacing w:after="80" w:before="240"/>
      </w:pPr>
      <w:r>
        <w:rPr>
          <w:rFonts w:ascii="Calibri" w:cs="Calibri" w:eastAsia="Calibri" w:hAnsi="Calibri"/>
        </w:rPr>
        <w:t xml:space="preserve">Completion standard</w:t>
      </w:r>
    </w:p>
    <w:p>
      <w:pPr>
        <w:spacing w:after="120" w:line="276"/>
      </w:pPr>
      <w:r>
        <w:rPr>
          <w:rFonts w:ascii="Calibri" w:cs="Calibri" w:eastAsia="Calibri" w:hAnsi="Calibri"/>
          <w:sz w:val="21"/>
          <w:szCs w:val="21"/>
        </w:rPr>
        <w:t xml:space="preserve">Proposed standard: an overall score of at least 70%, a submitted final project and attendance of at least 24 of the 29 sessions. Graduates receive a certificate of completion and keep their portfolio repository. The training provider may adjust this policy before enrollment.</w:t>
      </w:r>
    </w:p>
    <w:p>
      <w:pPr>
        <w:pStyle w:val="Heading1"/>
        <w:spacing w:after="120" w:before="320"/>
      </w:pPr>
      <w:r>
        <w:rPr>
          <w:rFonts w:ascii="Calibri" w:cs="Calibri" w:eastAsia="Calibri" w:hAnsi="Calibri"/>
        </w:rPr>
        <w:t xml:space="preserve">Learning environment and materials</w:t>
      </w:r>
    </w:p>
    <w:p>
      <w:pPr>
        <w:spacing w:after="120" w:line="276"/>
      </w:pPr>
      <w:r>
        <w:rPr>
          <w:rFonts w:ascii="Calibri" w:cs="Calibri" w:eastAsia="Calibri" w:hAnsi="Calibri"/>
          <w:sz w:val="21"/>
          <w:szCs w:val="21"/>
        </w:rPr>
        <w:t xml:space="preserve">Learners need a computer capable of running Docker, a stable internet connection for live Zoom sessions, VS Code, Git, Node.js (LTS) and npm, Playwright, Postman, a GitHub account and access to a local or instructor-hosted n8n instance. The instructor supplies a training web application and API, seeded test data, starter exercises, the test-runner service, notification access and access to an AI model for the AI modules. Exact software versions are validated and pinned before delivery.</w:t>
      </w:r>
    </w:p>
    <w:p>
      <w:pPr>
        <w:spacing w:after="120" w:line="276"/>
      </w:pPr>
      <w:r>
        <w:rPr>
          <w:rFonts w:ascii="Calibri" w:cs="Calibri" w:eastAsia="Calibri" w:hAnsi="Calibri"/>
          <w:sz w:val="21"/>
          <w:szCs w:val="21"/>
        </w:rPr>
        <w:t xml:space="preserve">Learning resources: session slides and notes, step-by-step lab guides, example repositories, a setup checklist sent before session 1 and the official documentation for TypeScript, Playwright, Docker, GitHub Actions and n8n. Paid services are not required for the core labs.</w:t>
      </w:r>
    </w:p>
    <w:sectPr>
      <w:footerReference w:type="default" r:id="rId7"/>
      <w:pgSz w:w="12240" w:h="15840" w:orient="portrait"/>
      <w:pgMar w:top="1008" w:right="1152" w:bottom="1008"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sz w:val="18"/>
        <w:szCs w:val="18"/>
      </w:rPr>
      <w:t xml:space="preserve">QA Manual &amp; Automation Course Syllabus  |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933"/>
      <w:sz w:val="30"/>
      <w:szCs w:val="30"/>
    </w:rPr>
  </w:style>
  <w:style w:type="paragraph" w:styleId="Heading2">
    <w:name w:val="Heading 2"/>
    <w:basedOn w:val="Normal"/>
    <w:next w:val="Normal"/>
    <w:qFormat/>
    <w:pPr>
      <w:outlineLvl w:val="1"/>
    </w:pPr>
    <w:rPr>
      <w:rFonts w:ascii="Calibri" w:cs="Calibri" w:eastAsia="Calibri" w:hAnsi="Calibri"/>
      <w:b/>
      <w:bCs/>
      <w:color w:val="2E3A4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Manual &amp; Automation Course Syllabus</dc:title>
  <dc:creator>Asaqa</dc:creator>
  <cp:lastModifiedBy>Un-named</cp:lastModifiedBy>
  <cp:revision>1</cp:revision>
  <dcterms:created xsi:type="dcterms:W3CDTF">2026-10-13T21:49:53.472Z</dcterms:created>
  <dcterms:modified xsi:type="dcterms:W3CDTF">2026-10-13T21:49:53.473Z</dcterms:modified>
</cp:coreProperties>
</file>

<file path=docProps/custom.xml><?xml version="1.0" encoding="utf-8"?>
<Properties xmlns="http://schemas.openxmlformats.org/officeDocument/2006/custom-properties" xmlns:vt="http://schemas.openxmlformats.org/officeDocument/2006/docPropsVTypes"/>
</file>