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kla82kacw7ym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Worksheet 4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An abstract class is a type of superclass. It represents an abstract concept. The reasoning behind abstract classes is that there is no good default code for a method and any subclass would override the method. In an abstract superclass, the method is a placeholder while the subclass contains the implementation.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In the case of the example file, there is an abstract class Lights that defines an abstract method animate().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Search through the example file and describe each implementation of the abstract method animate for each respectively named subclass.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Theorize two more types of light animations that you think could be implemented in a subclass. Write down the ideas and how they relate to the abstract class.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You may have noticed that the abstract class contains both instance variables and non-abstract methods. Additionally, the abstract class in the example had a constructor, although this is not required for abstract classes.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In the main method of the example file, try to create an instance of the abstract class. What happens?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Consider a theoretical abstract class and abstract methods relating to LocoXtreme driving.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Describe what aspects would be contained in the abstract class and what method or methods would be declared as abstract.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>
          <w:rFonts w:ascii="Lora" w:cs="Lora" w:eastAsia="Lora" w:hAnsi="Lora"/>
          <w:b w:val="1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3"/>
          <w:szCs w:val="23"/>
          <w:rtl w:val="0"/>
        </w:rPr>
        <w:t xml:space="preserve">In your theoretical abstract class example, theorize two types of classes that will extend the abstract class and each provide an implementation of the abstract method.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