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jvd6wknn6lid" w:id="0"/>
      <w:bookmarkEnd w:id="0"/>
      <w:r w:rsidDel="00000000" w:rsidR="00000000" w:rsidRPr="00000000">
        <w:rPr>
          <w:rFonts w:ascii="Lora" w:cs="Lora" w:eastAsia="Lora" w:hAnsi="Lora"/>
          <w:rtl w:val="0"/>
        </w:rPr>
        <w:t xml:space="preserve">Mutator Methods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examine mutator methods in more detail. Mutator methods are often void methods used to change the value of instance and static variables. This lesson corresponds with AP Computer Science A topic 5.5.</w:t>
      </w:r>
    </w:p>
    <w:p w:rsidR="00000000" w:rsidDel="00000000" w:rsidP="00000000" w:rsidRDefault="00000000" w:rsidRPr="00000000" w14:paraId="00000003">
      <w:pPr>
        <w:pStyle w:val="Heading2"/>
        <w:rPr>
          <w:rFonts w:ascii="Lora" w:cs="Lora" w:eastAsia="Lora" w:hAnsi="Lora"/>
        </w:rPr>
      </w:pPr>
      <w:bookmarkStart w:colFirst="0" w:colLast="0" w:name="_yf9idfweu9bc"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Define behaviors of an object through void methods with or without parameters written in a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