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tcd4qocw3w0p" w:id="0"/>
      <w:bookmarkEnd w:id="0"/>
      <w:r w:rsidDel="00000000" w:rsidR="00000000" w:rsidRPr="00000000">
        <w:rPr>
          <w:rFonts w:ascii="Lora" w:cs="Lora" w:eastAsia="Lora" w:hAnsi="Lora"/>
          <w:rtl w:val="0"/>
        </w:rPr>
        <w:t xml:space="preserve">Writing Methods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examine writing classes in more detail. It is a good programming practice to avoid altering objects within methods unless the method specifically calls for alterations to the object. Accessor and getter methods make obvious changes to objects, but most methods should not attempt to make changes unless it’s explicitly necessary. This lesson corresponds with AP Computer Science A topic 5.6.</w:t>
      </w:r>
    </w:p>
    <w:p w:rsidR="00000000" w:rsidDel="00000000" w:rsidP="00000000" w:rsidRDefault="00000000" w:rsidRPr="00000000" w14:paraId="00000003">
      <w:pPr>
        <w:pStyle w:val="Heading2"/>
        <w:rPr>
          <w:rFonts w:ascii="Lora" w:cs="Lora" w:eastAsia="Lora" w:hAnsi="Lora"/>
        </w:rPr>
      </w:pPr>
      <w:bookmarkStart w:colFirst="0" w:colLast="0" w:name="_wmarukhf2hcp"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Discuss changes to both primitive and reference formal parameters in methods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