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ficvm8nrtskp" w:id="0"/>
      <w:bookmarkEnd w:id="0"/>
      <w:r w:rsidDel="00000000" w:rsidR="00000000" w:rsidRPr="00000000">
        <w:rPr>
          <w:rFonts w:ascii="Lora" w:cs="Lora" w:eastAsia="Lora" w:hAnsi="Lora"/>
          <w:rtl w:val="0"/>
        </w:rPr>
        <w:t xml:space="preserve">Equivalent Boolean Expressions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examine De Morgan’s laws and determine when compound Boolean expressions are equivalent. They will use truth tables to display equivalent Boolean expressions. This lesson corresponds with AP Computer Science A topic 3.6.</w:t>
      </w:r>
    </w:p>
    <w:p w:rsidR="00000000" w:rsidDel="00000000" w:rsidP="00000000" w:rsidRDefault="00000000" w:rsidRPr="00000000" w14:paraId="00000003">
      <w:pPr>
        <w:pStyle w:val="Heading2"/>
        <w:rPr>
          <w:rFonts w:ascii="Lora" w:cs="Lora" w:eastAsia="Lora" w:hAnsi="Lora"/>
        </w:rPr>
      </w:pPr>
      <w:bookmarkStart w:colFirst="0" w:colLast="0" w:name="_d42wv09j3rsa"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Compare and contrast equivalent Boolean expressions</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Apply De Morgan’s Laws to Boolean expressions</w:t>
      </w:r>
    </w:p>
    <w:p w:rsidR="00000000" w:rsidDel="00000000" w:rsidP="00000000" w:rsidRDefault="00000000" w:rsidRPr="00000000" w14:paraId="00000007">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