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mddhzf5mwfkj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this Keyword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how this keyword can be used in programs. The keyword this is a reference to the current object whose methods and constructors are being called. This lesson corresponds with AP Computer Science A topic 5.9.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1bms89lea8dl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Evaluate object reference expressions that use the keyword this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