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e64yho6050m5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Writing Constructors for Subclasses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write constructors for subclasses. The superclass constructor can be called from the first line of a subclass constructor by using the keyword super and passing appropriate parameters. This lesson corresponds with AP Computer Science A topic 9.2.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4r56yvf60ylu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Write constructors for subclasses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