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Georgia" w:cs="Georgia" w:eastAsia="Georgia" w:hAnsi="Georgia"/>
          <w:b/>
          <w:bCs/>
          <w:color w:val="2C5F2D"/>
          <w:sz w:val="40"/>
          <w:szCs w:val="40"/>
        </w:rPr>
        <w:t xml:space="preserve">Food Excess Analysis &amp; Policy Framework</w:t>
      </w:r>
    </w:p>
    <w:p>
      <w:pPr>
        <w:spacing w:after="200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GW DSA Datathon 2026 — Policy Brief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C5F2D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Annual Surplus</w:t>
            </w:r>
          </w:p>
        </w:tc>
        <w:tc>
          <w:tcPr>
            <w:tcW w:type="pct" w:w="25%"/>
            <w:shd w:color="2C5F2D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Landfill Waste</w:t>
            </w:r>
          </w:p>
        </w:tc>
        <w:tc>
          <w:tcPr>
            <w:tcW w:type="pct" w:w="25%"/>
            <w:shd w:color="2C5F2D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GHG Emissions</w:t>
            </w:r>
          </w:p>
        </w:tc>
        <w:tc>
          <w:tcPr>
            <w:tcW w:type="pct" w:w="25%"/>
            <w:shd w:color="2C5F2D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Projected Diversion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63636"/>
                <w:sz w:val="20"/>
                <w:szCs w:val="20"/>
              </w:rPr>
              <w:t xml:space="preserve">70.7M tons ($384B)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63636"/>
                <w:sz w:val="20"/>
                <w:szCs w:val="20"/>
              </w:rPr>
              <w:t xml:space="preserve">23.0M tons (38.5%)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63636"/>
                <w:sz w:val="20"/>
                <w:szCs w:val="20"/>
              </w:rPr>
              <w:t xml:space="preserve">221M MT CO2e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63636"/>
                <w:sz w:val="20"/>
                <w:szCs w:val="20"/>
              </w:rPr>
              <w:t xml:space="preserve">1.02M tons/yr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C5F2D"/>
          <w:sz w:val="26"/>
          <w:szCs w:val="26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color w:val="363636"/>
          <w:sz w:val="22"/>
          <w:szCs w:val="22"/>
        </w:rPr>
        <w:t xml:space="preserve">The United States wastes </w:t>
      </w:r>
      <w:r>
        <w:rPr>
          <w:rFonts w:ascii="Calibri" w:cs="Calibri" w:eastAsia="Calibri" w:hAnsi="Calibri"/>
          <w:b/>
          <w:bCs/>
          <w:color w:val="363636"/>
          <w:sz w:val="22"/>
          <w:szCs w:val="22"/>
        </w:rPr>
        <w:t xml:space="preserve">70.7 million tons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 of food annually, sending </w:t>
      </w:r>
      <w:r>
        <w:rPr>
          <w:rFonts w:ascii="Calibri" w:cs="Calibri" w:eastAsia="Calibri" w:hAnsi="Calibri"/>
          <w:b/>
          <w:bCs/>
          <w:color w:val="363636"/>
          <w:sz w:val="22"/>
          <w:szCs w:val="22"/>
        </w:rPr>
        <w:t xml:space="preserve">23.0 million tons to landfills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 at a cost of $384 billion and 221 million MT CO2e. Using 15 years of state-level panel data and difference-in-differences causal inference, we provide the first rigorous evaluation of state organic waste bans — and find that </w:t>
      </w:r>
      <w:r>
        <w:rPr>
          <w:rFonts w:ascii="Calibri" w:cs="Calibri" w:eastAsia="Calibri" w:hAnsi="Calibri"/>
          <w:b/>
          <w:bCs/>
          <w:color w:val="363636"/>
          <w:sz w:val="22"/>
          <w:szCs w:val="22"/>
        </w:rPr>
        <w:t xml:space="preserve">bans without infrastructure fail.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 Our DiD analysis shows bans are associated with a </w:t>
      </w:r>
      <w:r>
        <w:rPr>
          <w:rFonts w:ascii="Calibri" w:cs="Calibri" w:eastAsia="Calibri" w:hAnsi="Calibri"/>
          <w:b/>
          <w:bCs/>
          <w:color w:val="363636"/>
          <w:sz w:val="22"/>
          <w:szCs w:val="22"/>
        </w:rPr>
        <w:t xml:space="preserve">2.03 percentage point increase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 in landfill rates (p = 0.008), independently validated by a 2024 UCSD study in 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Science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. Only Massachusetts succeeded — by pairing mandates with processing infrastructure. Our three-tier framework applies this lesson nationally to divert over </w:t>
      </w:r>
      <w:r>
        <w:rPr>
          <w:rFonts w:ascii="Calibri" w:cs="Calibri" w:eastAsia="Calibri" w:hAnsi="Calibri"/>
          <w:b/>
          <w:bCs/>
          <w:color w:val="363636"/>
          <w:sz w:val="22"/>
          <w:szCs w:val="22"/>
        </w:rPr>
        <w:t xml:space="preserve">1 million tons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 annually.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C5F2D"/>
          <w:sz w:val="26"/>
          <w:szCs w:val="26"/>
        </w:rPr>
        <w:t xml:space="preserve">The Scale of the Crisis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63636"/>
          <w:sz w:val="22"/>
          <w:szCs w:val="22"/>
        </w:rPr>
        <w:t xml:space="preserve">70.7 million tons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 of food surplus annually, valued at </w:t>
      </w:r>
      <w:r>
        <w:rPr>
          <w:rFonts w:ascii="Calibri" w:cs="Calibri" w:eastAsia="Calibri" w:hAnsi="Calibri"/>
          <w:b/>
          <w:bCs/>
          <w:color w:val="363636"/>
          <w:sz w:val="22"/>
          <w:szCs w:val="22"/>
        </w:rPr>
        <w:t xml:space="preserve">$384 billion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363636"/>
          <w:sz w:val="22"/>
          <w:szCs w:val="22"/>
        </w:rPr>
        <w:t xml:space="preserve">23.0 million tons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 sent to landfill (38.5% of all waste). Only </w:t>
      </w:r>
      <w:r>
        <w:rPr>
          <w:rFonts w:ascii="Calibri" w:cs="Calibri" w:eastAsia="Calibri" w:hAnsi="Calibri"/>
          <w:b/>
          <w:bCs/>
          <w:color w:val="363636"/>
          <w:sz w:val="22"/>
          <w:szCs w:val="22"/>
        </w:rPr>
        <w:t xml:space="preserve">1.78 million tons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 donated (2.5% of surplus). The residential sector: 23.5M tons, $141B value, </w:t>
      </w:r>
      <w:r>
        <w:rPr>
          <w:rFonts w:ascii="Calibri" w:cs="Calibri" w:eastAsia="Calibri" w:hAnsi="Calibri"/>
          <w:b/>
          <w:bCs/>
          <w:color w:val="363636"/>
          <w:sz w:val="22"/>
          <w:szCs w:val="22"/>
        </w:rPr>
        <w:t xml:space="preserve">ZERO donations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363636"/>
          <w:sz w:val="22"/>
          <w:szCs w:val="22"/>
        </w:rPr>
        <w:t xml:space="preserve">221 million MT CO2e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 in GHG emissions — equivalent to 48 million cars. </w:t>
      </w:r>
      <w:r>
        <w:rPr>
          <w:rFonts w:ascii="Calibri" w:cs="Calibri" w:eastAsia="Calibri" w:hAnsi="Calibri"/>
          <w:b/>
          <w:bCs/>
          <w:color w:val="363636"/>
          <w:sz w:val="22"/>
          <w:szCs w:val="22"/>
        </w:rPr>
        <w:t xml:space="preserve">114.9 billion meals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 wasted while 44 million Americans face food insecurity. Surplus has grown 14% since 2010, and the federal 2030 goal is off track.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C5F2D"/>
          <w:sz w:val="26"/>
          <w:szCs w:val="26"/>
        </w:rPr>
        <w:t xml:space="preserve">Causal Evidence: Why Bans Alone Fail</w:t>
      </w:r>
    </w:p>
    <w:p>
      <w:pPr>
        <w:spacing w:after="120" w:line="276"/>
      </w:pPr>
      <w:r>
        <w:rPr>
          <w:rFonts w:ascii="Calibri" w:cs="Calibri" w:eastAsia="Calibri" w:hAnsi="Calibri"/>
          <w:color w:val="363636"/>
          <w:sz w:val="22"/>
          <w:szCs w:val="22"/>
        </w:rPr>
        <w:t xml:space="preserve">Our DiD analysis using two-way fixed effects across 50 states and 15 years finds organic waste bans are associated with a </w:t>
      </w:r>
      <w:r>
        <w:rPr>
          <w:rFonts w:ascii="Calibri" w:cs="Calibri" w:eastAsia="Calibri" w:hAnsi="Calibri"/>
          <w:b/>
          <w:bCs/>
          <w:color w:val="363636"/>
          <w:sz w:val="22"/>
          <w:szCs w:val="22"/>
        </w:rPr>
        <w:t xml:space="preserve">+2.03 pp increase in landfill rate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 (SE = 0.0076, p = 0.008) and a </w:t>
      </w:r>
      <w:r>
        <w:rPr>
          <w:rFonts w:ascii="Calibri" w:cs="Calibri" w:eastAsia="Calibri" w:hAnsi="Calibri"/>
          <w:b/>
          <w:bCs/>
          <w:color w:val="363636"/>
          <w:sz w:val="22"/>
          <w:szCs w:val="22"/>
        </w:rPr>
        <w:t xml:space="preserve">−5.18 pp decrease in diversion rate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 (p &lt; 0.001). Event study analysis confirms parallel pre-trends and shows effects growing to 4.72 pp by year 6. Synthetic control for California shows a 2.83 pp gap after SB 1383.</w:t>
      </w:r>
    </w:p>
    <w:p>
      <w:pPr>
        <w:spacing w:after="120" w:line="276"/>
      </w:pPr>
      <w:r>
        <w:rPr>
          <w:rFonts w:ascii="Calibri" w:cs="Calibri" w:eastAsia="Calibri" w:hAnsi="Calibri"/>
          <w:color w:val="363636"/>
          <w:sz w:val="22"/>
          <w:szCs w:val="22"/>
        </w:rPr>
        <w:t xml:space="preserve">The critical insight: a 2024 UCSD study in 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Science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 confirms only </w:t>
      </w:r>
      <w:r>
        <w:rPr>
          <w:rFonts w:ascii="Calibri" w:cs="Calibri" w:eastAsia="Calibri" w:hAnsi="Calibri"/>
          <w:b/>
          <w:bCs/>
          <w:color w:val="363636"/>
          <w:sz w:val="22"/>
          <w:szCs w:val="22"/>
        </w:rPr>
        <w:t xml:space="preserve">Massachusetts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 achieved reductions — 350,000 tons diverted, 1,670+ jobs, $194M value — because it paired mandates with the nation's densest processing infrastructure network.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C5F2D"/>
          <w:sz w:val="26"/>
          <w:szCs w:val="26"/>
        </w:rPr>
        <w:t xml:space="preserve">Three-Tier Policy Framework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C5F2D"/>
          <w:sz w:val="22"/>
          <w:szCs w:val="22"/>
        </w:rPr>
        <w:t xml:space="preserve">Tier 1 — Federal: 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(a) Pass the Food Date Labeling Act — standardize to 'BEST if Used By' and 'USE By.' Impact: </w:t>
      </w:r>
      <w:r>
        <w:rPr>
          <w:rFonts w:ascii="Calibri" w:cs="Calibri" w:eastAsia="Calibri" w:hAnsi="Calibri"/>
          <w:b/>
          <w:bCs/>
          <w:color w:val="363636"/>
          <w:sz w:val="22"/>
          <w:szCs w:val="22"/>
        </w:rPr>
        <w:t xml:space="preserve">425,000 tons/yr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, $1.82B net benefit. 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(b) Set a binding national organic waste mandate with infrastructure funding. DiD-calibrated impact: </w:t>
      </w:r>
      <w:r>
        <w:rPr>
          <w:rFonts w:ascii="Calibri" w:cs="Calibri" w:eastAsia="Calibri" w:hAnsi="Calibri"/>
          <w:b/>
          <w:bCs/>
          <w:color w:val="363636"/>
          <w:sz w:val="22"/>
          <w:szCs w:val="22"/>
        </w:rPr>
        <w:t xml:space="preserve">779,000 tons/yr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 shifted across 38 non-ban states.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C5F2D"/>
          <w:sz w:val="22"/>
          <w:szCs w:val="22"/>
        </w:rPr>
        <w:t xml:space="preserve">Tier 2 — State: 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(a) Expand infrastructure-backed bans to 38 states. Priority targets: FL (86K tons), TX (83K), WI (54K). 22 'Landfill-Dependent' states (53.9% avg rate) are highest impact. 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(b) Fund municipal donation and composting infrastructure to close the $141B residential gap.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C5F2D"/>
          <w:sz w:val="22"/>
          <w:szCs w:val="22"/>
        </w:rPr>
        <w:t xml:space="preserve">Tier 3 — Sector: 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Residential: labels + composting + education (33% of surplus, $141B, 0 donations). Foodservice: waste tracking mandates (42% of landfill). Farm: gleaning incentives + secondary markets (13.4M tons not harvested).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C5F2D"/>
          <w:sz w:val="26"/>
          <w:szCs w:val="26"/>
        </w:rPr>
        <w:t xml:space="preserve">Projected National Impact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C5F2D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25%"/>
            <w:shd w:color="2C5F2D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 Labels (A)</w:t>
            </w:r>
          </w:p>
        </w:tc>
        <w:tc>
          <w:tcPr>
            <w:tcW w:type="pct" w:w="25%"/>
            <w:shd w:color="2C5F2D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Bans + Infra (B)</w:t>
            </w:r>
          </w:p>
        </w:tc>
        <w:tc>
          <w:tcPr>
            <w:tcW w:type="pct" w:w="25%"/>
            <w:shd w:color="2C5F2D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Combined (C)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63636"/>
                <w:sz w:val="20"/>
                <w:szCs w:val="20"/>
              </w:rPr>
              <w:t xml:space="preserve">Tons Diverted/Yr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63636"/>
                <w:sz w:val="20"/>
                <w:szCs w:val="20"/>
              </w:rPr>
              <w:t xml:space="preserve">425,000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63636"/>
                <w:sz w:val="20"/>
                <w:szCs w:val="20"/>
              </w:rPr>
              <w:t xml:space="preserve">779,441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63636"/>
                <w:sz w:val="20"/>
                <w:szCs w:val="20"/>
              </w:rPr>
              <w:t xml:space="preserve">1,023,775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63636"/>
                <w:sz w:val="20"/>
                <w:szCs w:val="20"/>
              </w:rPr>
              <w:t xml:space="preserve">GHG (MT CO2e)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63636"/>
                <w:sz w:val="20"/>
                <w:szCs w:val="20"/>
              </w:rPr>
              <w:t xml:space="preserve">1,892,889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63636"/>
                <w:sz w:val="20"/>
                <w:szCs w:val="20"/>
              </w:rPr>
              <w:t xml:space="preserve">3,361,283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63636"/>
                <w:sz w:val="20"/>
                <w:szCs w:val="20"/>
              </w:rPr>
              <w:t xml:space="preserve">4,466,046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63636"/>
                <w:sz w:val="20"/>
                <w:szCs w:val="20"/>
              </w:rPr>
              <w:t xml:space="preserve">Meals Recovered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63636"/>
                <w:sz w:val="20"/>
                <w:szCs w:val="20"/>
              </w:rPr>
              <w:t xml:space="preserve">744.7M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63636"/>
                <w:sz w:val="20"/>
                <w:szCs w:val="20"/>
              </w:rPr>
              <w:t xml:space="preserve">1,524.1M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63636"/>
                <w:sz w:val="20"/>
                <w:szCs w:val="20"/>
              </w:rPr>
              <w:t xml:space="preserve">1,928.5M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63636"/>
                <w:sz w:val="20"/>
                <w:szCs w:val="20"/>
              </w:rPr>
              <w:t xml:space="preserve">Economic Value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63636"/>
                <w:sz w:val="20"/>
                <w:szCs w:val="20"/>
              </w:rPr>
              <w:t xml:space="preserve">$2.82B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63636"/>
                <w:sz w:val="20"/>
                <w:szCs w:val="20"/>
              </w:rPr>
              <w:t xml:space="preserve">$4.68B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63636"/>
                <w:sz w:val="20"/>
                <w:szCs w:val="20"/>
              </w:rPr>
              <w:t xml:space="preserve">$6.37B</w:t>
            </w:r>
          </w:p>
        </w:tc>
      </w:tr>
    </w:tbl>
    <w:p>
      <w:pPr>
        <w:spacing w:before="120"/>
      </w:pPr>
    </w:p>
    <w:p>
      <w:pPr>
        <w:spacing w:after="120" w:line="276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Projections are calibrated from causally estimated treatment effects with a 15% overlap discount for policy interactions.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C5F2D"/>
          <w:sz w:val="26"/>
          <w:szCs w:val="26"/>
        </w:rPr>
        <w:t xml:space="preserve">Evidence Base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63636"/>
          <w:sz w:val="22"/>
          <w:szCs w:val="22"/>
        </w:rPr>
        <w:t xml:space="preserve">Massachusetts: 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Only state where bans reduced waste (13.2% reduction); 350K tons diverted, $194M value (UCSD, Science, 2024). </w:t>
      </w:r>
      <w:r>
        <w:rPr>
          <w:rFonts w:ascii="Calibri" w:cs="Calibri" w:eastAsia="Calibri" w:hAnsi="Calibri"/>
          <w:b/>
          <w:bCs/>
          <w:color w:val="363636"/>
          <w:sz w:val="22"/>
          <w:szCs w:val="22"/>
        </w:rPr>
        <w:t xml:space="preserve">Vermont Act 148: 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51–57% recovery rate; 40% donation increase. </w:t>
      </w:r>
      <w:r>
        <w:rPr>
          <w:rFonts w:ascii="Calibri" w:cs="Calibri" w:eastAsia="Calibri" w:hAnsi="Calibri"/>
          <w:b/>
          <w:bCs/>
          <w:color w:val="363636"/>
          <w:sz w:val="22"/>
          <w:szCs w:val="22"/>
        </w:rPr>
        <w:t xml:space="preserve">France: 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20%+ donation increase, 10M additional meals/yr. </w:t>
      </w:r>
      <w:r>
        <w:rPr>
          <w:rFonts w:ascii="Calibri" w:cs="Calibri" w:eastAsia="Calibri" w:hAnsi="Calibri"/>
          <w:b/>
          <w:bCs/>
          <w:color w:val="363636"/>
          <w:sz w:val="22"/>
          <w:szCs w:val="22"/>
        </w:rPr>
        <w:t xml:space="preserve">ReFED: 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$18B investment yields $74B return (4:1). </w:t>
      </w:r>
      <w:r>
        <w:rPr>
          <w:rFonts w:ascii="Calibri" w:cs="Calibri" w:eastAsia="Calibri" w:hAnsi="Calibri"/>
          <w:b/>
          <w:bCs/>
          <w:color w:val="363636"/>
          <w:sz w:val="22"/>
          <w:szCs w:val="22"/>
        </w:rPr>
        <w:t xml:space="preserve">Our analysis: 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First DiD evaluation of food waste bans using ReFED state panel dataset.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2C5F2D"/>
          <w:sz w:val="26"/>
          <w:szCs w:val="26"/>
        </w:rPr>
        <w:t xml:space="preserve">Call to Action</w:t>
      </w:r>
    </w:p>
    <w:p>
      <w:pPr>
        <w:spacing w:after="120" w:line="276"/>
      </w:pPr>
      <w:r>
        <w:rPr>
          <w:rFonts w:ascii="Calibri" w:cs="Calibri" w:eastAsia="Calibri" w:hAnsi="Calibri"/>
          <w:color w:val="363636"/>
          <w:sz w:val="22"/>
          <w:szCs w:val="22"/>
        </w:rPr>
        <w:t xml:space="preserve">The evidence is causal, not correlational. Every year of inaction sends </w:t>
      </w:r>
      <w:r>
        <w:rPr>
          <w:rFonts w:ascii="Calibri" w:cs="Calibri" w:eastAsia="Calibri" w:hAnsi="Calibri"/>
          <w:b/>
          <w:bCs/>
          <w:color w:val="363636"/>
          <w:sz w:val="22"/>
          <w:szCs w:val="22"/>
        </w:rPr>
        <w:t xml:space="preserve">23 million more tons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 to landfills. This framework — grounded in 15 years of data, the first DiD evaluation of food waste policy, and validated by independent peer-reviewed research — offers a proven path: standardize labels, fund infrastructure alongside mandates, and target sectors where data shows the greatest leverage. The cost: $18B/year. The return: </w:t>
      </w:r>
      <w:r>
        <w:rPr>
          <w:rFonts w:ascii="Calibri" w:cs="Calibri" w:eastAsia="Calibri" w:hAnsi="Calibri"/>
          <w:b/>
          <w:bCs/>
          <w:color w:val="363636"/>
          <w:sz w:val="22"/>
          <w:szCs w:val="22"/>
        </w:rPr>
        <w:t xml:space="preserve">$74 billion</w:t>
      </w:r>
      <w:r>
        <w:rPr>
          <w:rFonts w:ascii="Calibri" w:cs="Calibri" w:eastAsia="Calibri" w:hAnsi="Calibri"/>
          <w:color w:val="363636"/>
          <w:sz w:val="22"/>
          <w:szCs w:val="22"/>
        </w:rPr>
        <w:t xml:space="preserve"> — plus 4.5M MT CO2e avoided, 1.9 billion meals recovered, and a food system that treats waste as a solvable problem.</w:t>
      </w:r>
    </w:p>
    <w:p>
      <w:pPr>
        <w:spacing w:before="300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Data: ReFED Food Waste Monitor (2024) | Analysis: GW DSA Datathon Team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CURRENT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636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Excess Analysis &amp; Policy Framework</dc:title>
  <dc:creator>GW DSA Datathon Team</dc:creator>
  <cp:lastModifiedBy>Un-named</cp:lastModifiedBy>
  <cp:revision>1</cp:revision>
  <dcterms:created xsi:type="dcterms:W3CDTF">2026-03-20T03:26:06.702Z</dcterms:created>
  <dcterms:modified xsi:type="dcterms:W3CDTF">2026-03-20T03:26:06.703Z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