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Georgia" w:cs="Georgia" w:eastAsia="Georgia" w:hAnsi="Georgia"/>
          <w:b/>
          <w:bCs/>
          <w:color w:val="2C5F2D"/>
          <w:sz w:val="40"/>
          <w:szCs w:val="40"/>
        </w:rPr>
        <w:t xml:space="preserve">Closing the Loop: A Three-Tier Framework to Divert 1M Tons of Food Waste</w:t>
      </w:r>
    </w:p>
    <w:p>
      <w:pPr>
        <w:spacing w:after="200"/>
      </w:pPr>
      <w:r>
        <w:rPr>
          <w:rFonts w:ascii="Calibri" w:cs="Calibri" w:eastAsia="Calibri" w:hAnsi="Calibri"/>
          <w:color w:val="888888"/>
          <w:sz w:val="22"/>
          <w:szCs w:val="22"/>
        </w:rPr>
        <w:t xml:space="preserve">GW DSA Datathon 2026 — Policy Brief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color="2C5F2D" w:val="solid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Annual Surplus</w:t>
            </w:r>
          </w:p>
        </w:tc>
        <w:tc>
          <w:tcPr>
            <w:tcW w:type="pct" w:w="25%"/>
            <w:shd w:color="2C5F2D" w:val="solid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Landfill Waste</w:t>
            </w:r>
          </w:p>
        </w:tc>
        <w:tc>
          <w:tcPr>
            <w:tcW w:type="pct" w:w="25%"/>
            <w:shd w:color="2C5F2D" w:val="solid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GHG Emissions</w:t>
            </w:r>
          </w:p>
        </w:tc>
        <w:tc>
          <w:tcPr>
            <w:tcW w:type="pct" w:w="25%"/>
            <w:shd w:color="2C5F2D" w:val="solid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Projected Diversion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70.7M tons ($384B)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23.0M tons (38.5%)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221M MT CO2e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1.02M tons/yr</w:t>
            </w:r>
          </w:p>
        </w:tc>
      </w:tr>
    </w:tbl>
    <w:p>
      <w:pPr>
        <w:spacing w:before="200"/>
      </w:pPr>
    </w:p>
    <w:p>
      <w:pPr>
        <w:pStyle w:val="Heading2"/>
        <w:spacing w:after="120" w:before="240"/>
      </w:pPr>
      <w:r>
        <w:rPr>
          <w:rFonts w:ascii="Georgia" w:cs="Georgia" w:eastAsia="Georgia" w:hAnsi="Georgia"/>
          <w:b/>
          <w:bCs/>
          <w:color w:val="2C5F2D"/>
          <w:sz w:val="26"/>
          <w:szCs w:val="26"/>
        </w:rPr>
        <w:t xml:space="preserve">Executive Summary</w:t>
      </w:r>
    </w:p>
    <w:p>
      <w:pPr>
        <w:spacing w:after="120" w:line="276"/>
      </w:pPr>
      <w:r>
        <w:rPr>
          <w:rFonts w:ascii="Calibri" w:cs="Calibri" w:eastAsia="Calibri" w:hAnsi="Calibri"/>
          <w:color w:val="363636"/>
          <w:sz w:val="22"/>
          <w:szCs w:val="22"/>
        </w:rPr>
        <w:t xml:space="preserve">The United States wastes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70.7 million tons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of food annually, sending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23.0 million tons to landfills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at a cost of $384 billion and 221 million MT CO2e. Using 15 years of state-level panel data and difference-in-differences causal inference, we provide the first rigorous evaluation of state organic waste bans — and find that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bans without infrastructure fail.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Our DiD analysis shows bans are associated with a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2.03 percentage point increase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in landfill rates (p = 0.008), independently validated by a 2024 UCSD study in 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Science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. Only Massachusetts succeeded — by pairing mandates with processing infrastructure. Our three-tier framework applies this lesson nationally to divert over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1 million tons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annually.</w:t>
      </w:r>
    </w:p>
    <w:p>
      <w:pPr>
        <w:pStyle w:val="Heading2"/>
        <w:spacing w:after="120" w:before="240"/>
      </w:pPr>
      <w:r>
        <w:rPr>
          <w:rFonts w:ascii="Georgia" w:cs="Georgia" w:eastAsia="Georgia" w:hAnsi="Georgia"/>
          <w:b/>
          <w:bCs/>
          <w:color w:val="2C5F2D"/>
          <w:sz w:val="26"/>
          <w:szCs w:val="26"/>
        </w:rPr>
        <w:t xml:space="preserve">The Scale of the Crisis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70.7 million tons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of food surplus annually, valued at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$384 billion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23.0 million tons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sent to landfill (38.5% of all waste). Only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1.78 million tons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donated (2.5% of surplus). The residential sector: 23.5M tons, $141B value,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ZERO donations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221 million MT CO2e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in GHG emissions — equivalent to 48 million cars.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114.9 billion meals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wasted while 44 million Americans face food insecurity. Surplus has grown 14% since 2010, and the federal 2030 goal is off track.</w:t>
      </w:r>
    </w:p>
    <w:p>
      <w:pPr>
        <w:pStyle w:val="Heading2"/>
        <w:spacing w:after="120" w:before="240"/>
      </w:pPr>
      <w:r>
        <w:rPr>
          <w:rFonts w:ascii="Georgia" w:cs="Georgia" w:eastAsia="Georgia" w:hAnsi="Georgia"/>
          <w:b/>
          <w:bCs/>
          <w:color w:val="2C5F2D"/>
          <w:sz w:val="26"/>
          <w:szCs w:val="26"/>
        </w:rPr>
        <w:t xml:space="preserve">Causal Evidence: Why Bans Alone Fail</w:t>
      </w:r>
    </w:p>
    <w:p>
      <w:pPr>
        <w:spacing w:after="120" w:line="276"/>
      </w:pPr>
      <w:r>
        <w:rPr>
          <w:rFonts w:ascii="Calibri" w:cs="Calibri" w:eastAsia="Calibri" w:hAnsi="Calibri"/>
          <w:color w:val="363636"/>
          <w:sz w:val="22"/>
          <w:szCs w:val="22"/>
        </w:rPr>
        <w:t xml:space="preserve">Our DiD analysis using two-way fixed effects across 50 states and 15 years finds organic waste bans are associated with a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+2.03 pp increase in landfill rate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(SE = 0.0076, p = 0.008) and a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−5.18 pp decrease in diversion rate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(p &lt; 0.001). Event study analysis confirms parallel pre-trends and shows effects growing to 4.72 pp by year 6. Synthetic control for California shows a 2.83 pp gap after SB 1383.</w:t>
      </w:r>
    </w:p>
    <w:p>
      <w:pPr>
        <w:spacing w:after="120" w:line="276"/>
      </w:pPr>
      <w:r>
        <w:rPr>
          <w:rFonts w:ascii="Calibri" w:cs="Calibri" w:eastAsia="Calibri" w:hAnsi="Calibri"/>
          <w:color w:val="363636"/>
          <w:sz w:val="22"/>
          <w:szCs w:val="22"/>
        </w:rPr>
        <w:t xml:space="preserve">The critical insight: a 2024 UCSD study in 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Science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confirms only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Massachusetts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achieved reductions — 350,000 tons diverted, 1,670+ jobs, $194M value — because it paired mandates with the nation's densest processing infrastructure network.</w:t>
      </w:r>
    </w:p>
    <w:p>
      <w:pPr>
        <w:pStyle w:val="Heading2"/>
        <w:spacing w:after="120" w:before="240"/>
      </w:pPr>
      <w:r>
        <w:rPr>
          <w:rFonts w:ascii="Georgia" w:cs="Georgia" w:eastAsia="Georgia" w:hAnsi="Georgia"/>
          <w:b/>
          <w:bCs/>
          <w:color w:val="2C5F2D"/>
          <w:sz w:val="26"/>
          <w:szCs w:val="26"/>
        </w:rPr>
        <w:t xml:space="preserve">Three-Tier Policy Framework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2C5F2D"/>
          <w:sz w:val="22"/>
          <w:szCs w:val="22"/>
        </w:rPr>
        <w:t xml:space="preserve">Tier 1 — Federal: 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(a) Pass the Food Date Labeling Act — standardize to 'BEST if Used By' and 'USE By.' Impact: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425,000 tons/yr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, $1.82B net benefit. 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(b) Set a binding national organic waste mandate with infrastructure funding. DiD-calibrated impact: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779,000 tons/yr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shifted across 38 non-ban states.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2C5F2D"/>
          <w:sz w:val="22"/>
          <w:szCs w:val="22"/>
        </w:rPr>
        <w:t xml:space="preserve">Tier 2 — State: 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(a) Expand infrastructure-backed bans to 38 states. Priority targets: FL (86K tons), TX (83K), WI (54K). 22 'Landfill-Dependent' states (53.9% avg rate) are highest impact. 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(b) Fund municipal donation and composting infrastructure to close the $141B residential gap.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2C5F2D"/>
          <w:sz w:val="22"/>
          <w:szCs w:val="22"/>
        </w:rPr>
        <w:t xml:space="preserve">Tier 3 — Sector: 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Residential: labels + composting + education (33% of surplus, $141B, 0 donations). Foodservice: waste tracking mandates (42% of landfill). Farm: gleaning incentives + secondary markets (13.4M tons not harvested).</w:t>
      </w:r>
    </w:p>
    <w:p>
      <w:pPr>
        <w:pStyle w:val="Heading2"/>
        <w:spacing w:after="120" w:before="240"/>
      </w:pPr>
      <w:r>
        <w:rPr>
          <w:rFonts w:ascii="Georgia" w:cs="Georgia" w:eastAsia="Georgia" w:hAnsi="Georgia"/>
          <w:b/>
          <w:bCs/>
          <w:color w:val="2C5F2D"/>
          <w:sz w:val="26"/>
          <w:szCs w:val="26"/>
        </w:rPr>
        <w:t xml:space="preserve">Projected National Impact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color="2C5F2D" w:val="solid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25%"/>
            <w:shd w:color="2C5F2D" w:val="solid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 Labels (A)</w:t>
            </w:r>
          </w:p>
        </w:tc>
        <w:tc>
          <w:tcPr>
            <w:tcW w:type="pct" w:w="25%"/>
            <w:shd w:color="2C5F2D" w:val="solid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Bans + Infra (B)</w:t>
            </w:r>
          </w:p>
        </w:tc>
        <w:tc>
          <w:tcPr>
            <w:tcW w:type="pct" w:w="25%"/>
            <w:shd w:color="2C5F2D" w:val="solid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Combined (C)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Tons Diverted/Yr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425,000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779,441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1,023,775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GHG (MT CO2e)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1,892,889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3,361,283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4,466,046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Meals Recovered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744.7M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1,524.1M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1,928.5M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Economic Value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$2.82B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$4.68B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63636"/>
                <w:sz w:val="20"/>
                <w:szCs w:val="20"/>
              </w:rPr>
              <w:t xml:space="preserve">$6.37B</w:t>
            </w:r>
          </w:p>
        </w:tc>
      </w:tr>
    </w:tbl>
    <w:p>
      <w:pPr>
        <w:spacing w:before="120"/>
      </w:pPr>
    </w:p>
    <w:p>
      <w:pPr>
        <w:spacing w:after="120" w:line="276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Projections are calibrated from causally estimated treatment effects with a 15% overlap discount for policy interactions.</w:t>
      </w:r>
    </w:p>
    <w:p>
      <w:pPr>
        <w:pStyle w:val="Heading2"/>
        <w:spacing w:after="120" w:before="240"/>
      </w:pPr>
      <w:r>
        <w:rPr>
          <w:rFonts w:ascii="Georgia" w:cs="Georgia" w:eastAsia="Georgia" w:hAnsi="Georgia"/>
          <w:b/>
          <w:bCs/>
          <w:color w:val="2C5F2D"/>
          <w:sz w:val="26"/>
          <w:szCs w:val="26"/>
        </w:rPr>
        <w:t xml:space="preserve">Evidence Base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Massachusetts: 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Only state where bans reduced waste (13.2% reduction); 350K tons diverted, $194M value (UCSD, Science, 2024).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Vermont Act 148: 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51–57% recovery rate; 40% donation increase.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France: 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20%+ donation increase, 10M additional meals/yr.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ReFED: 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$18B investment yields $74B return (4:1).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Our analysis: 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First DiD evaluation of food waste bans using ReFED state panel dataset.</w:t>
      </w:r>
    </w:p>
    <w:p>
      <w:pPr>
        <w:pStyle w:val="Heading2"/>
        <w:spacing w:after="120" w:before="240"/>
      </w:pPr>
      <w:r>
        <w:rPr>
          <w:rFonts w:ascii="Georgia" w:cs="Georgia" w:eastAsia="Georgia" w:hAnsi="Georgia"/>
          <w:b/>
          <w:bCs/>
          <w:color w:val="2C5F2D"/>
          <w:sz w:val="26"/>
          <w:szCs w:val="26"/>
        </w:rPr>
        <w:t xml:space="preserve">Call to Action</w:t>
      </w:r>
    </w:p>
    <w:p>
      <w:pPr>
        <w:spacing w:after="120" w:line="276"/>
      </w:pPr>
      <w:r>
        <w:rPr>
          <w:rFonts w:ascii="Calibri" w:cs="Calibri" w:eastAsia="Calibri" w:hAnsi="Calibri"/>
          <w:color w:val="363636"/>
          <w:sz w:val="22"/>
          <w:szCs w:val="22"/>
        </w:rPr>
        <w:t xml:space="preserve">The evidence is causal, not correlational. Every year of inaction sends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23 million more tons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to landfills. This framework — grounded in 15 years of data, the first DiD evaluation of food waste policy, and validated by independent peer-reviewed research — offers a proven path: standardize labels, fund infrastructure alongside mandates, and target sectors where data shows the greatest leverage. The cost: $18B/year. The return: </w:t>
      </w:r>
      <w:r>
        <w:rPr>
          <w:rFonts w:ascii="Calibri" w:cs="Calibri" w:eastAsia="Calibri" w:hAnsi="Calibri"/>
          <w:b/>
          <w:bCs/>
          <w:color w:val="363636"/>
          <w:sz w:val="22"/>
          <w:szCs w:val="22"/>
        </w:rPr>
        <w:t xml:space="preserve">$74 billion</w:t>
      </w:r>
      <w:r>
        <w:rPr>
          <w:rFonts w:ascii="Calibri" w:cs="Calibri" w:eastAsia="Calibri" w:hAnsi="Calibri"/>
          <w:color w:val="363636"/>
          <w:sz w:val="22"/>
          <w:szCs w:val="22"/>
        </w:rPr>
        <w:t xml:space="preserve"> — plus 4.5M MT CO2e avoided, 1.9 billion meals recovered, and a food system that treats waste as a solvable problem.</w:t>
      </w:r>
    </w:p>
    <w:p>
      <w:pPr>
        <w:spacing w:before="300"/>
      </w:pPr>
      <w:r>
        <w:rPr>
          <w:rFonts w:ascii="Calibri" w:cs="Calibri" w:eastAsia="Calibri" w:hAnsi="Calibri"/>
          <w:color w:val="999999"/>
          <w:sz w:val="18"/>
          <w:szCs w:val="18"/>
        </w:rPr>
        <w:t xml:space="preserve">Data: ReFED Food Waste Monitor (2024) | Analysis: GW DSA Datathon Team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CURRENT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6363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Closing the Loop: A Three-Tier Framework to Divert 1M Tons of Food Waste</dc:title>
  <dc:creator>GW DSA Datathon Team</dc:creator>
  <cp:lastModifiedBy>Un-named</cp:lastModifiedBy>
  <cp:revision>1</cp:revision>
  <dcterms:created xsi:type="dcterms:W3CDTF">2026-03-14T21:35:59.431Z</dcterms:created>
  <dcterms:modified xsi:type="dcterms:W3CDTF">2026-03-14T21:35:59.431Z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