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477547" w14:textId="1CF704BE" w:rsidR="005720FE" w:rsidRDefault="00000000">
      <w:pPr>
        <w:spacing w:after="80"/>
      </w:pPr>
      <w:r>
        <w:rPr>
          <w:rFonts w:ascii="Georgia" w:eastAsia="Georgia" w:hAnsi="Georgia" w:cs="Georgia"/>
          <w:b/>
          <w:bCs/>
          <w:color w:val="2C5F2D"/>
          <w:sz w:val="40"/>
          <w:szCs w:val="40"/>
        </w:rPr>
        <w:t>A Three-Tier Framework to Divert Food Waste</w:t>
      </w:r>
    </w:p>
    <w:p w14:paraId="2B74E510" w14:textId="7DB8ADE1" w:rsidR="005720FE" w:rsidRDefault="00000000" w:rsidP="00A46FA3">
      <w:pPr>
        <w:spacing w:after="200"/>
      </w:pPr>
      <w:r>
        <w:rPr>
          <w:color w:val="888888"/>
        </w:rPr>
        <w:t xml:space="preserve">GW DSA </w:t>
      </w:r>
      <w:proofErr w:type="spellStart"/>
      <w:r>
        <w:rPr>
          <w:color w:val="888888"/>
        </w:rPr>
        <w:t>Datathon</w:t>
      </w:r>
      <w:proofErr w:type="spellEnd"/>
      <w:r>
        <w:rPr>
          <w:color w:val="888888"/>
        </w:rPr>
        <w:t xml:space="preserve"> 2026 — Policy Brief</w:t>
      </w:r>
    </w:p>
    <w:p w14:paraId="3E846E54" w14:textId="77777777" w:rsidR="005720FE" w:rsidRDefault="00000000">
      <w:pPr>
        <w:pStyle w:val="Heading2"/>
        <w:spacing w:before="240" w:after="120"/>
      </w:pPr>
      <w:r>
        <w:rPr>
          <w:rFonts w:ascii="Georgia" w:eastAsia="Georgia" w:hAnsi="Georgia" w:cs="Georgia"/>
          <w:b/>
          <w:bCs/>
          <w:color w:val="2C5F2D"/>
        </w:rPr>
        <w:t>Executive Summary</w:t>
      </w:r>
    </w:p>
    <w:p w14:paraId="79896C59" w14:textId="77777777" w:rsidR="005720FE" w:rsidRDefault="00000000">
      <w:pPr>
        <w:spacing w:after="120" w:line="276" w:lineRule="auto"/>
      </w:pPr>
      <w:r>
        <w:t xml:space="preserve">The United States wastes </w:t>
      </w:r>
      <w:r>
        <w:rPr>
          <w:b/>
          <w:bCs/>
        </w:rPr>
        <w:t>70.7 million tons</w:t>
      </w:r>
      <w:r>
        <w:t xml:space="preserve"> of food annually, sending </w:t>
      </w:r>
      <w:r>
        <w:rPr>
          <w:b/>
          <w:bCs/>
        </w:rPr>
        <w:t>23.0 million tons to landfills</w:t>
      </w:r>
      <w:r>
        <w:t xml:space="preserve"> at a cost of $384 billion and 221 million MT CO2e. Using 15 years of state-level panel data and difference-in-differences causal inference, we provide the first rigorous evaluation of state organic waste bans — and find that </w:t>
      </w:r>
      <w:r>
        <w:rPr>
          <w:b/>
          <w:bCs/>
        </w:rPr>
        <w:t>bans without infrastructure fail.</w:t>
      </w:r>
      <w:r>
        <w:t xml:space="preserve"> Our </w:t>
      </w:r>
      <w:proofErr w:type="spellStart"/>
      <w:r>
        <w:t>DiD</w:t>
      </w:r>
      <w:proofErr w:type="spellEnd"/>
      <w:r>
        <w:t xml:space="preserve"> analysis shows bans are associated with a </w:t>
      </w:r>
      <w:r>
        <w:rPr>
          <w:b/>
          <w:bCs/>
        </w:rPr>
        <w:t>2.03 percentage point increase</w:t>
      </w:r>
      <w:r>
        <w:t xml:space="preserve"> in landfill rates (p = 0.008), independently validated by a 2024 UCSD study in </w:t>
      </w:r>
      <w:proofErr w:type="gramStart"/>
      <w:r>
        <w:t>Science</w:t>
      </w:r>
      <w:proofErr w:type="gramEnd"/>
      <w:r>
        <w:t xml:space="preserve">. Only Massachusetts succeeded — by pairing mandates with processing infrastructure. Our three-tier framework applies this lesson nationally to divert over </w:t>
      </w:r>
      <w:r>
        <w:rPr>
          <w:b/>
          <w:bCs/>
        </w:rPr>
        <w:t>1 million tons</w:t>
      </w:r>
      <w:r>
        <w:t xml:space="preserve"> annually.</w:t>
      </w:r>
    </w:p>
    <w:p w14:paraId="280E7863" w14:textId="77777777" w:rsidR="005720FE" w:rsidRDefault="00000000">
      <w:pPr>
        <w:pStyle w:val="Heading2"/>
        <w:spacing w:before="240" w:after="120"/>
      </w:pPr>
      <w:r>
        <w:rPr>
          <w:rFonts w:ascii="Georgia" w:eastAsia="Georgia" w:hAnsi="Georgia" w:cs="Georgia"/>
          <w:b/>
          <w:bCs/>
          <w:color w:val="2C5F2D"/>
        </w:rPr>
        <w:t>The Scale of the Crisis</w:t>
      </w:r>
    </w:p>
    <w:p w14:paraId="4E2D30BA" w14:textId="77777777" w:rsidR="005720FE" w:rsidRDefault="00000000">
      <w:pPr>
        <w:spacing w:after="120" w:line="276" w:lineRule="auto"/>
      </w:pPr>
      <w:r>
        <w:rPr>
          <w:b/>
          <w:bCs/>
        </w:rPr>
        <w:t>70.7 million tons</w:t>
      </w:r>
      <w:r>
        <w:t xml:space="preserve"> of food surplus annually, valued at </w:t>
      </w:r>
      <w:r>
        <w:rPr>
          <w:b/>
          <w:bCs/>
        </w:rPr>
        <w:t>$384 billion</w:t>
      </w:r>
      <w:r>
        <w:t xml:space="preserve">. </w:t>
      </w:r>
      <w:r>
        <w:rPr>
          <w:b/>
          <w:bCs/>
        </w:rPr>
        <w:t>23.0 million tons</w:t>
      </w:r>
      <w:r>
        <w:t xml:space="preserve"> sent to landfill (38.5% of all waste). Only </w:t>
      </w:r>
      <w:r>
        <w:rPr>
          <w:b/>
          <w:bCs/>
        </w:rPr>
        <w:t>1.78 million tons</w:t>
      </w:r>
      <w:r>
        <w:t xml:space="preserve"> donated (2.5% of surplus). The residential sector: 23.5M tons, $141B value, </w:t>
      </w:r>
      <w:r>
        <w:rPr>
          <w:b/>
          <w:bCs/>
        </w:rPr>
        <w:t>ZERO donations</w:t>
      </w:r>
      <w:r>
        <w:t xml:space="preserve">. </w:t>
      </w:r>
      <w:r>
        <w:rPr>
          <w:b/>
          <w:bCs/>
        </w:rPr>
        <w:t>221 million MT CO2e</w:t>
      </w:r>
      <w:r>
        <w:t xml:space="preserve"> in GHG emissions — equivalent to 48 million cars. </w:t>
      </w:r>
      <w:r>
        <w:rPr>
          <w:b/>
          <w:bCs/>
        </w:rPr>
        <w:t>114.9 billion meals</w:t>
      </w:r>
      <w:r>
        <w:t xml:space="preserve"> wasted while 44 million Americans face food insecurity. Surplus has grown 14% since 2010, and the federal 2030 goal is off track.</w:t>
      </w:r>
    </w:p>
    <w:p w14:paraId="36B32357" w14:textId="77777777" w:rsidR="005720FE" w:rsidRDefault="00000000">
      <w:pPr>
        <w:pStyle w:val="Heading2"/>
        <w:spacing w:before="240" w:after="120"/>
      </w:pPr>
      <w:r>
        <w:rPr>
          <w:rFonts w:ascii="Georgia" w:eastAsia="Georgia" w:hAnsi="Georgia" w:cs="Georgia"/>
          <w:b/>
          <w:bCs/>
          <w:color w:val="2C5F2D"/>
        </w:rPr>
        <w:t>Causal Evidence: Why Bans Alone Fail</w:t>
      </w:r>
    </w:p>
    <w:p w14:paraId="115F9D4C" w14:textId="77777777" w:rsidR="005720FE" w:rsidRDefault="00000000">
      <w:pPr>
        <w:spacing w:after="120" w:line="276" w:lineRule="auto"/>
      </w:pPr>
      <w:r>
        <w:t xml:space="preserve">Our </w:t>
      </w:r>
      <w:proofErr w:type="spellStart"/>
      <w:r>
        <w:t>DiD</w:t>
      </w:r>
      <w:proofErr w:type="spellEnd"/>
      <w:r>
        <w:t xml:space="preserve"> analysis using two-way fixed effects across 50 states and 15 years finds organic waste bans are associated with a </w:t>
      </w:r>
      <w:r>
        <w:rPr>
          <w:b/>
          <w:bCs/>
        </w:rPr>
        <w:t>+2.03 pp increase in landfill rate</w:t>
      </w:r>
      <w:r>
        <w:t xml:space="preserve"> (SE = 0.0076, p = 0.008) and a </w:t>
      </w:r>
      <w:r>
        <w:rPr>
          <w:b/>
          <w:bCs/>
        </w:rPr>
        <w:t>−5.18 pp decrease in diversion rate</w:t>
      </w:r>
      <w:r>
        <w:t xml:space="preserve"> (p &lt; 0.001). Event study analysis confirms parallel pre-trends and shows effects growing to 4.72 pp by year 6. Synthetic control for California shows a 2.83 pp gap after SB 1383.</w:t>
      </w:r>
    </w:p>
    <w:p w14:paraId="1C22142D" w14:textId="77777777" w:rsidR="005720FE" w:rsidRDefault="00000000">
      <w:pPr>
        <w:spacing w:after="120" w:line="276" w:lineRule="auto"/>
      </w:pPr>
      <w:r>
        <w:t xml:space="preserve">The critical insight: a 2024 UCSD study in </w:t>
      </w:r>
      <w:proofErr w:type="gramStart"/>
      <w:r>
        <w:t>Science</w:t>
      </w:r>
      <w:proofErr w:type="gramEnd"/>
      <w:r>
        <w:t xml:space="preserve"> confirms only </w:t>
      </w:r>
      <w:r>
        <w:rPr>
          <w:b/>
          <w:bCs/>
        </w:rPr>
        <w:t>Massachusetts</w:t>
      </w:r>
      <w:r>
        <w:t xml:space="preserve"> achieved reductions — 350,000 tons diverted, 1,670+ jobs, $194M value — because it paired mandates with the nation's densest processing infrastructure network.</w:t>
      </w:r>
    </w:p>
    <w:p w14:paraId="626CB23A" w14:textId="77777777" w:rsidR="005720FE" w:rsidRDefault="00000000">
      <w:pPr>
        <w:pStyle w:val="Heading2"/>
        <w:spacing w:before="240" w:after="120"/>
      </w:pPr>
      <w:r>
        <w:rPr>
          <w:rFonts w:ascii="Georgia" w:eastAsia="Georgia" w:hAnsi="Georgia" w:cs="Georgia"/>
          <w:b/>
          <w:bCs/>
          <w:color w:val="2C5F2D"/>
        </w:rPr>
        <w:t>Three-Tier Policy Framework</w:t>
      </w:r>
    </w:p>
    <w:p w14:paraId="7EFE3787" w14:textId="77777777" w:rsidR="005720FE" w:rsidRDefault="00000000">
      <w:pPr>
        <w:spacing w:after="120" w:line="276" w:lineRule="auto"/>
      </w:pPr>
      <w:r>
        <w:rPr>
          <w:b/>
          <w:bCs/>
          <w:color w:val="2C5F2D"/>
        </w:rPr>
        <w:t xml:space="preserve">Tier 1 — Federal: </w:t>
      </w:r>
      <w:r>
        <w:t xml:space="preserve">(a) Pass the Food Date </w:t>
      </w:r>
      <w:proofErr w:type="spellStart"/>
      <w:r>
        <w:t>Labeling</w:t>
      </w:r>
      <w:proofErr w:type="spellEnd"/>
      <w:r>
        <w:t xml:space="preserve"> Act — standardize to 'BEST if Used By' and 'USE By.' Impact: </w:t>
      </w:r>
      <w:r>
        <w:rPr>
          <w:b/>
          <w:bCs/>
        </w:rPr>
        <w:t>425,000 tons/yr</w:t>
      </w:r>
      <w:r>
        <w:t xml:space="preserve">, $1.82B net benefit. (b) Set a binding national organic waste mandate with infrastructure funding. </w:t>
      </w:r>
      <w:proofErr w:type="spellStart"/>
      <w:r>
        <w:t>DiD</w:t>
      </w:r>
      <w:proofErr w:type="spellEnd"/>
      <w:r>
        <w:t xml:space="preserve">-calibrated impact: </w:t>
      </w:r>
      <w:r>
        <w:rPr>
          <w:b/>
          <w:bCs/>
        </w:rPr>
        <w:t>779,000 tons/yr</w:t>
      </w:r>
      <w:r>
        <w:t xml:space="preserve"> shifted across 38 non-ban states.</w:t>
      </w:r>
    </w:p>
    <w:p w14:paraId="79A53BC9" w14:textId="77777777" w:rsidR="005720FE" w:rsidRDefault="00000000">
      <w:pPr>
        <w:spacing w:after="120" w:line="276" w:lineRule="auto"/>
      </w:pPr>
      <w:r>
        <w:rPr>
          <w:b/>
          <w:bCs/>
          <w:color w:val="2C5F2D"/>
        </w:rPr>
        <w:t xml:space="preserve">Tier 2 — State: </w:t>
      </w:r>
      <w:r>
        <w:t xml:space="preserve">(a) Expand infrastructure-backed bans to 38 states. Priority targets: FL (86K tons), TX (83K), WI (54K). 22 'Landfill-Dependent' states (53.9% </w:t>
      </w:r>
      <w:proofErr w:type="spellStart"/>
      <w:r>
        <w:t>avg</w:t>
      </w:r>
      <w:proofErr w:type="spellEnd"/>
      <w:r>
        <w:t xml:space="preserve"> rate) are highest impact. (b) Fund municipal donation and composting infrastructure to close the $141B residential gap.</w:t>
      </w:r>
    </w:p>
    <w:p w14:paraId="52F39710" w14:textId="77777777" w:rsidR="005720FE" w:rsidRDefault="00000000">
      <w:pPr>
        <w:spacing w:after="120" w:line="276" w:lineRule="auto"/>
      </w:pPr>
      <w:r>
        <w:rPr>
          <w:b/>
          <w:bCs/>
          <w:color w:val="2C5F2D"/>
        </w:rPr>
        <w:lastRenderedPageBreak/>
        <w:t xml:space="preserve">Tier 3 — Sector: </w:t>
      </w:r>
      <w:r>
        <w:t>Residential: labels + composting + education (33% of surplus, $141B, 0 donations). Foodservice: waste tracking mandates (42% of landfill). Farm: gleaning incentives + secondary markets (13.4M tons not harvested).</w:t>
      </w:r>
    </w:p>
    <w:p w14:paraId="65F72331" w14:textId="77777777" w:rsidR="005720FE" w:rsidRDefault="00000000">
      <w:pPr>
        <w:pStyle w:val="Heading2"/>
        <w:spacing w:before="240" w:after="120"/>
      </w:pPr>
      <w:r>
        <w:rPr>
          <w:rFonts w:ascii="Georgia" w:eastAsia="Georgia" w:hAnsi="Georgia" w:cs="Georgia"/>
          <w:b/>
          <w:bCs/>
          <w:color w:val="2C5F2D"/>
        </w:rPr>
        <w:t>Projected National Impact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5720FE" w14:paraId="7CBE10F1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solid" w:color="2C5F2D" w:fill="auto"/>
            <w:vAlign w:val="center"/>
          </w:tcPr>
          <w:p w14:paraId="550DFB98" w14:textId="77777777" w:rsidR="005720F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1250" w:type="pct"/>
            <w:shd w:val="solid" w:color="2C5F2D" w:fill="auto"/>
            <w:vAlign w:val="center"/>
          </w:tcPr>
          <w:p w14:paraId="1479EC89" w14:textId="77777777" w:rsidR="005720F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Date Labels (A)</w:t>
            </w:r>
          </w:p>
        </w:tc>
        <w:tc>
          <w:tcPr>
            <w:tcW w:w="1250" w:type="pct"/>
            <w:shd w:val="solid" w:color="2C5F2D" w:fill="auto"/>
            <w:vAlign w:val="center"/>
          </w:tcPr>
          <w:p w14:paraId="2473EFFB" w14:textId="77777777" w:rsidR="005720F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Bans + Infra (B)</w:t>
            </w:r>
          </w:p>
        </w:tc>
        <w:tc>
          <w:tcPr>
            <w:tcW w:w="1250" w:type="pct"/>
            <w:shd w:val="solid" w:color="2C5F2D" w:fill="auto"/>
            <w:vAlign w:val="center"/>
          </w:tcPr>
          <w:p w14:paraId="0ECA2A1B" w14:textId="77777777" w:rsidR="005720F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Combined (C)</w:t>
            </w:r>
          </w:p>
        </w:tc>
      </w:tr>
      <w:tr w:rsidR="005720FE" w14:paraId="69A170FA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vAlign w:val="center"/>
          </w:tcPr>
          <w:p w14:paraId="229CE42A" w14:textId="77777777" w:rsidR="005720FE" w:rsidRDefault="00000000">
            <w:pPr>
              <w:jc w:val="center"/>
            </w:pPr>
            <w:r>
              <w:rPr>
                <w:sz w:val="20"/>
                <w:szCs w:val="20"/>
              </w:rPr>
              <w:t>Tons Diverted/Yr</w:t>
            </w:r>
          </w:p>
        </w:tc>
        <w:tc>
          <w:tcPr>
            <w:tcW w:w="1250" w:type="pct"/>
            <w:vAlign w:val="center"/>
          </w:tcPr>
          <w:p w14:paraId="77E9E769" w14:textId="77777777" w:rsidR="005720FE" w:rsidRDefault="00000000">
            <w:pPr>
              <w:jc w:val="center"/>
            </w:pPr>
            <w:r>
              <w:rPr>
                <w:sz w:val="20"/>
                <w:szCs w:val="20"/>
              </w:rPr>
              <w:t>425,000</w:t>
            </w:r>
          </w:p>
        </w:tc>
        <w:tc>
          <w:tcPr>
            <w:tcW w:w="1250" w:type="pct"/>
            <w:vAlign w:val="center"/>
          </w:tcPr>
          <w:p w14:paraId="635FA446" w14:textId="77777777" w:rsidR="005720FE" w:rsidRDefault="00000000">
            <w:pPr>
              <w:jc w:val="center"/>
            </w:pPr>
            <w:r>
              <w:rPr>
                <w:sz w:val="20"/>
                <w:szCs w:val="20"/>
              </w:rPr>
              <w:t>779,441</w:t>
            </w:r>
          </w:p>
        </w:tc>
        <w:tc>
          <w:tcPr>
            <w:tcW w:w="1250" w:type="pct"/>
            <w:vAlign w:val="center"/>
          </w:tcPr>
          <w:p w14:paraId="672DF874" w14:textId="77777777" w:rsidR="005720FE" w:rsidRDefault="00000000">
            <w:pPr>
              <w:jc w:val="center"/>
            </w:pPr>
            <w:r>
              <w:rPr>
                <w:sz w:val="20"/>
                <w:szCs w:val="20"/>
              </w:rPr>
              <w:t>1,023,775</w:t>
            </w:r>
          </w:p>
        </w:tc>
      </w:tr>
      <w:tr w:rsidR="005720FE" w14:paraId="63942D2B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vAlign w:val="center"/>
          </w:tcPr>
          <w:p w14:paraId="717803CE" w14:textId="77777777" w:rsidR="005720FE" w:rsidRDefault="00000000">
            <w:pPr>
              <w:jc w:val="center"/>
            </w:pPr>
            <w:r>
              <w:rPr>
                <w:sz w:val="20"/>
                <w:szCs w:val="20"/>
              </w:rPr>
              <w:t>GHG (MT CO2e)</w:t>
            </w:r>
          </w:p>
        </w:tc>
        <w:tc>
          <w:tcPr>
            <w:tcW w:w="1250" w:type="pct"/>
            <w:vAlign w:val="center"/>
          </w:tcPr>
          <w:p w14:paraId="2436DFA3" w14:textId="77777777" w:rsidR="005720FE" w:rsidRDefault="00000000">
            <w:pPr>
              <w:jc w:val="center"/>
            </w:pPr>
            <w:r>
              <w:rPr>
                <w:sz w:val="20"/>
                <w:szCs w:val="20"/>
              </w:rPr>
              <w:t>1,892,889</w:t>
            </w:r>
          </w:p>
        </w:tc>
        <w:tc>
          <w:tcPr>
            <w:tcW w:w="1250" w:type="pct"/>
            <w:vAlign w:val="center"/>
          </w:tcPr>
          <w:p w14:paraId="682E35F9" w14:textId="77777777" w:rsidR="005720FE" w:rsidRDefault="00000000">
            <w:pPr>
              <w:jc w:val="center"/>
            </w:pPr>
            <w:r>
              <w:rPr>
                <w:sz w:val="20"/>
                <w:szCs w:val="20"/>
              </w:rPr>
              <w:t>3,361,283</w:t>
            </w:r>
          </w:p>
        </w:tc>
        <w:tc>
          <w:tcPr>
            <w:tcW w:w="1250" w:type="pct"/>
            <w:vAlign w:val="center"/>
          </w:tcPr>
          <w:p w14:paraId="4FD96F6B" w14:textId="77777777" w:rsidR="005720FE" w:rsidRDefault="00000000">
            <w:pPr>
              <w:jc w:val="center"/>
            </w:pPr>
            <w:r>
              <w:rPr>
                <w:sz w:val="20"/>
                <w:szCs w:val="20"/>
              </w:rPr>
              <w:t>4,466,046</w:t>
            </w:r>
          </w:p>
        </w:tc>
      </w:tr>
      <w:tr w:rsidR="005720FE" w14:paraId="5F334AE7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vAlign w:val="center"/>
          </w:tcPr>
          <w:p w14:paraId="4695A788" w14:textId="77777777" w:rsidR="005720FE" w:rsidRDefault="00000000">
            <w:pPr>
              <w:jc w:val="center"/>
            </w:pPr>
            <w:r>
              <w:rPr>
                <w:sz w:val="20"/>
                <w:szCs w:val="20"/>
              </w:rPr>
              <w:t>Meals Recovered</w:t>
            </w:r>
          </w:p>
        </w:tc>
        <w:tc>
          <w:tcPr>
            <w:tcW w:w="1250" w:type="pct"/>
            <w:vAlign w:val="center"/>
          </w:tcPr>
          <w:p w14:paraId="7648EF3C" w14:textId="77777777" w:rsidR="005720FE" w:rsidRDefault="00000000">
            <w:pPr>
              <w:jc w:val="center"/>
            </w:pPr>
            <w:r>
              <w:rPr>
                <w:sz w:val="20"/>
                <w:szCs w:val="20"/>
              </w:rPr>
              <w:t>744.7M</w:t>
            </w:r>
          </w:p>
        </w:tc>
        <w:tc>
          <w:tcPr>
            <w:tcW w:w="1250" w:type="pct"/>
            <w:vAlign w:val="center"/>
          </w:tcPr>
          <w:p w14:paraId="670EC10A" w14:textId="77777777" w:rsidR="005720FE" w:rsidRDefault="00000000">
            <w:pPr>
              <w:jc w:val="center"/>
            </w:pPr>
            <w:r>
              <w:rPr>
                <w:sz w:val="20"/>
                <w:szCs w:val="20"/>
              </w:rPr>
              <w:t>1,524.1M</w:t>
            </w:r>
          </w:p>
        </w:tc>
        <w:tc>
          <w:tcPr>
            <w:tcW w:w="1250" w:type="pct"/>
            <w:vAlign w:val="center"/>
          </w:tcPr>
          <w:p w14:paraId="3C107A5E" w14:textId="77777777" w:rsidR="005720FE" w:rsidRDefault="00000000">
            <w:pPr>
              <w:jc w:val="center"/>
            </w:pPr>
            <w:r>
              <w:rPr>
                <w:sz w:val="20"/>
                <w:szCs w:val="20"/>
              </w:rPr>
              <w:t>1,928.5M</w:t>
            </w:r>
          </w:p>
        </w:tc>
      </w:tr>
      <w:tr w:rsidR="005720FE" w14:paraId="62C4F218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vAlign w:val="center"/>
          </w:tcPr>
          <w:p w14:paraId="4DCD6931" w14:textId="77777777" w:rsidR="005720FE" w:rsidRDefault="00000000">
            <w:pPr>
              <w:jc w:val="center"/>
            </w:pPr>
            <w:r>
              <w:rPr>
                <w:sz w:val="20"/>
                <w:szCs w:val="20"/>
              </w:rPr>
              <w:t>Economic Value</w:t>
            </w:r>
          </w:p>
        </w:tc>
        <w:tc>
          <w:tcPr>
            <w:tcW w:w="1250" w:type="pct"/>
            <w:vAlign w:val="center"/>
          </w:tcPr>
          <w:p w14:paraId="5C495E82" w14:textId="77777777" w:rsidR="005720FE" w:rsidRDefault="00000000">
            <w:pPr>
              <w:jc w:val="center"/>
            </w:pPr>
            <w:r>
              <w:rPr>
                <w:sz w:val="20"/>
                <w:szCs w:val="20"/>
              </w:rPr>
              <w:t>$2.82B</w:t>
            </w:r>
          </w:p>
        </w:tc>
        <w:tc>
          <w:tcPr>
            <w:tcW w:w="1250" w:type="pct"/>
            <w:vAlign w:val="center"/>
          </w:tcPr>
          <w:p w14:paraId="05BB75AD" w14:textId="77777777" w:rsidR="005720FE" w:rsidRDefault="00000000">
            <w:pPr>
              <w:jc w:val="center"/>
            </w:pPr>
            <w:r>
              <w:rPr>
                <w:sz w:val="20"/>
                <w:szCs w:val="20"/>
              </w:rPr>
              <w:t>$4.68B</w:t>
            </w:r>
          </w:p>
        </w:tc>
        <w:tc>
          <w:tcPr>
            <w:tcW w:w="1250" w:type="pct"/>
            <w:vAlign w:val="center"/>
          </w:tcPr>
          <w:p w14:paraId="039E162A" w14:textId="77777777" w:rsidR="005720FE" w:rsidRDefault="00000000">
            <w:pPr>
              <w:jc w:val="center"/>
            </w:pPr>
            <w:r>
              <w:rPr>
                <w:sz w:val="20"/>
                <w:szCs w:val="20"/>
              </w:rPr>
              <w:t>$6.37B</w:t>
            </w:r>
          </w:p>
        </w:tc>
      </w:tr>
    </w:tbl>
    <w:p w14:paraId="38885C55" w14:textId="77777777" w:rsidR="005720FE" w:rsidRDefault="005720FE">
      <w:pPr>
        <w:spacing w:before="120"/>
      </w:pPr>
    </w:p>
    <w:p w14:paraId="624B0C02" w14:textId="77777777" w:rsidR="005720FE" w:rsidRDefault="00000000">
      <w:pPr>
        <w:spacing w:after="120" w:line="276" w:lineRule="auto"/>
      </w:pPr>
      <w:r>
        <w:rPr>
          <w:color w:val="888888"/>
          <w:sz w:val="20"/>
          <w:szCs w:val="20"/>
        </w:rPr>
        <w:t>Projections are calibrated from causally estimated treatment effects with a 15% overlap discount for policy interactions.</w:t>
      </w:r>
    </w:p>
    <w:p w14:paraId="74188E7A" w14:textId="77777777" w:rsidR="005720FE" w:rsidRDefault="00000000">
      <w:pPr>
        <w:pStyle w:val="Heading2"/>
        <w:spacing w:before="240" w:after="120"/>
      </w:pPr>
      <w:r>
        <w:rPr>
          <w:rFonts w:ascii="Georgia" w:eastAsia="Georgia" w:hAnsi="Georgia" w:cs="Georgia"/>
          <w:b/>
          <w:bCs/>
          <w:color w:val="2C5F2D"/>
        </w:rPr>
        <w:t>Evidence Base</w:t>
      </w:r>
    </w:p>
    <w:p w14:paraId="6D1ED1C8" w14:textId="77777777" w:rsidR="005720FE" w:rsidRDefault="00000000">
      <w:pPr>
        <w:spacing w:after="120" w:line="276" w:lineRule="auto"/>
      </w:pPr>
      <w:r>
        <w:rPr>
          <w:b/>
          <w:bCs/>
        </w:rPr>
        <w:t xml:space="preserve">Massachusetts: </w:t>
      </w:r>
      <w:r>
        <w:t xml:space="preserve">Only state where bans reduced waste (13.2% reduction); 350K tons diverted, $194M value (UCSD, Science, 2024). </w:t>
      </w:r>
      <w:r>
        <w:rPr>
          <w:b/>
          <w:bCs/>
        </w:rPr>
        <w:t xml:space="preserve">Vermont Act 148: </w:t>
      </w:r>
      <w:r>
        <w:t xml:space="preserve">51–57% recovery rate; 40% donation increase. </w:t>
      </w:r>
      <w:r>
        <w:rPr>
          <w:b/>
          <w:bCs/>
        </w:rPr>
        <w:t xml:space="preserve">France: </w:t>
      </w:r>
      <w:r>
        <w:t xml:space="preserve">20%+ donation increase, 10M additional meals/yr. </w:t>
      </w:r>
      <w:proofErr w:type="spellStart"/>
      <w:r>
        <w:rPr>
          <w:b/>
          <w:bCs/>
        </w:rPr>
        <w:t>ReFED</w:t>
      </w:r>
      <w:proofErr w:type="spellEnd"/>
      <w:r>
        <w:rPr>
          <w:b/>
          <w:bCs/>
        </w:rPr>
        <w:t xml:space="preserve">: </w:t>
      </w:r>
      <w:r>
        <w:t xml:space="preserve">$18B investment yields $74B return (4:1). </w:t>
      </w:r>
      <w:r>
        <w:rPr>
          <w:b/>
          <w:bCs/>
        </w:rPr>
        <w:t xml:space="preserve">Our analysis: </w:t>
      </w:r>
      <w:r>
        <w:t xml:space="preserve">First </w:t>
      </w:r>
      <w:proofErr w:type="spellStart"/>
      <w:r>
        <w:t>DiD</w:t>
      </w:r>
      <w:proofErr w:type="spellEnd"/>
      <w:r>
        <w:t xml:space="preserve"> evaluation of food waste bans using </w:t>
      </w:r>
      <w:proofErr w:type="spellStart"/>
      <w:r>
        <w:t>ReFED</w:t>
      </w:r>
      <w:proofErr w:type="spellEnd"/>
      <w:r>
        <w:t xml:space="preserve"> state panel dataset.</w:t>
      </w:r>
    </w:p>
    <w:p w14:paraId="5262E269" w14:textId="77777777" w:rsidR="005720FE" w:rsidRDefault="00000000">
      <w:pPr>
        <w:pStyle w:val="Heading2"/>
        <w:spacing w:before="240" w:after="120"/>
      </w:pPr>
      <w:r>
        <w:rPr>
          <w:rFonts w:ascii="Georgia" w:eastAsia="Georgia" w:hAnsi="Georgia" w:cs="Georgia"/>
          <w:b/>
          <w:bCs/>
          <w:color w:val="2C5F2D"/>
        </w:rPr>
        <w:t>Call to Action</w:t>
      </w:r>
    </w:p>
    <w:p w14:paraId="3694C09E" w14:textId="77777777" w:rsidR="005720FE" w:rsidRDefault="00000000">
      <w:pPr>
        <w:spacing w:after="120" w:line="276" w:lineRule="auto"/>
      </w:pPr>
      <w:r>
        <w:t xml:space="preserve">The evidence is causal, not correlational. Every year of inaction sends </w:t>
      </w:r>
      <w:r>
        <w:rPr>
          <w:b/>
          <w:bCs/>
        </w:rPr>
        <w:t>23 million more tons</w:t>
      </w:r>
      <w:r>
        <w:t xml:space="preserve"> to landfills. This framework — grounded in 15 years of data, the first </w:t>
      </w:r>
      <w:proofErr w:type="spellStart"/>
      <w:r>
        <w:t>DiD</w:t>
      </w:r>
      <w:proofErr w:type="spellEnd"/>
      <w:r>
        <w:t xml:space="preserve"> evaluation of food waste policy, and validated by independent peer-reviewed research — offers a proven path: standardize labels, fund infrastructure alongside mandates, and target sectors where data shows the greatest leverage. The cost: $18B/year. The return: </w:t>
      </w:r>
      <w:r>
        <w:rPr>
          <w:b/>
          <w:bCs/>
        </w:rPr>
        <w:t>$74 billion</w:t>
      </w:r>
      <w:r>
        <w:t xml:space="preserve"> — plus 4.5M MT CO2e avoided, 1.9 billion meals recovered, and a food system that treats waste as a solvable problem.</w:t>
      </w:r>
    </w:p>
    <w:p w14:paraId="03AE4B83" w14:textId="77777777" w:rsidR="005720FE" w:rsidRDefault="00000000">
      <w:pPr>
        <w:spacing w:before="300"/>
      </w:pPr>
      <w:r>
        <w:rPr>
          <w:color w:val="999999"/>
          <w:sz w:val="18"/>
          <w:szCs w:val="18"/>
        </w:rPr>
        <w:t xml:space="preserve">Data: </w:t>
      </w:r>
      <w:proofErr w:type="spellStart"/>
      <w:r>
        <w:rPr>
          <w:color w:val="999999"/>
          <w:sz w:val="18"/>
          <w:szCs w:val="18"/>
        </w:rPr>
        <w:t>ReFED</w:t>
      </w:r>
      <w:proofErr w:type="spellEnd"/>
      <w:r>
        <w:rPr>
          <w:color w:val="999999"/>
          <w:sz w:val="18"/>
          <w:szCs w:val="18"/>
        </w:rPr>
        <w:t xml:space="preserve"> Food Waste Monitor (2024) | Analysis: GW DSA </w:t>
      </w:r>
      <w:proofErr w:type="spellStart"/>
      <w:r>
        <w:rPr>
          <w:color w:val="999999"/>
          <w:sz w:val="18"/>
          <w:szCs w:val="18"/>
        </w:rPr>
        <w:t>Datathon</w:t>
      </w:r>
      <w:proofErr w:type="spellEnd"/>
      <w:r>
        <w:rPr>
          <w:color w:val="999999"/>
          <w:sz w:val="18"/>
          <w:szCs w:val="18"/>
        </w:rPr>
        <w:t xml:space="preserve"> Team</w:t>
      </w:r>
    </w:p>
    <w:sectPr w:rsidR="005720FE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8BF8AD" w14:textId="77777777" w:rsidR="00C05546" w:rsidRDefault="00C05546">
      <w:r>
        <w:separator/>
      </w:r>
    </w:p>
  </w:endnote>
  <w:endnote w:type="continuationSeparator" w:id="0">
    <w:p w14:paraId="43673528" w14:textId="77777777" w:rsidR="00C05546" w:rsidRDefault="00C055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51292" w14:textId="77777777" w:rsidR="005720FE" w:rsidRDefault="005720F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C02BDB" w14:textId="77777777" w:rsidR="00C05546" w:rsidRDefault="00C05546">
      <w:r>
        <w:separator/>
      </w:r>
    </w:p>
  </w:footnote>
  <w:footnote w:type="continuationSeparator" w:id="0">
    <w:p w14:paraId="22712B58" w14:textId="77777777" w:rsidR="00C05546" w:rsidRDefault="00C055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C7480E"/>
    <w:multiLevelType w:val="hybridMultilevel"/>
    <w:tmpl w:val="1FB4ACCA"/>
    <w:lvl w:ilvl="0" w:tplc="37A2C7F0">
      <w:start w:val="1"/>
      <w:numFmt w:val="bullet"/>
      <w:lvlText w:val="●"/>
      <w:lvlJc w:val="left"/>
      <w:pPr>
        <w:ind w:left="720" w:hanging="360"/>
      </w:pPr>
    </w:lvl>
    <w:lvl w:ilvl="1" w:tplc="EE8037B2">
      <w:start w:val="1"/>
      <w:numFmt w:val="bullet"/>
      <w:lvlText w:val="○"/>
      <w:lvlJc w:val="left"/>
      <w:pPr>
        <w:ind w:left="1440" w:hanging="360"/>
      </w:pPr>
    </w:lvl>
    <w:lvl w:ilvl="2" w:tplc="32CE6486">
      <w:start w:val="1"/>
      <w:numFmt w:val="bullet"/>
      <w:lvlText w:val="■"/>
      <w:lvlJc w:val="left"/>
      <w:pPr>
        <w:ind w:left="2160" w:hanging="360"/>
      </w:pPr>
    </w:lvl>
    <w:lvl w:ilvl="3" w:tplc="C99AD624">
      <w:start w:val="1"/>
      <w:numFmt w:val="bullet"/>
      <w:lvlText w:val="●"/>
      <w:lvlJc w:val="left"/>
      <w:pPr>
        <w:ind w:left="2880" w:hanging="360"/>
      </w:pPr>
    </w:lvl>
    <w:lvl w:ilvl="4" w:tplc="C414B01A">
      <w:start w:val="1"/>
      <w:numFmt w:val="bullet"/>
      <w:lvlText w:val="○"/>
      <w:lvlJc w:val="left"/>
      <w:pPr>
        <w:ind w:left="3600" w:hanging="360"/>
      </w:pPr>
    </w:lvl>
    <w:lvl w:ilvl="5" w:tplc="5692A2E4">
      <w:start w:val="1"/>
      <w:numFmt w:val="bullet"/>
      <w:lvlText w:val="■"/>
      <w:lvlJc w:val="left"/>
      <w:pPr>
        <w:ind w:left="4320" w:hanging="360"/>
      </w:pPr>
    </w:lvl>
    <w:lvl w:ilvl="6" w:tplc="8816254C">
      <w:start w:val="1"/>
      <w:numFmt w:val="bullet"/>
      <w:lvlText w:val="●"/>
      <w:lvlJc w:val="left"/>
      <w:pPr>
        <w:ind w:left="5040" w:hanging="360"/>
      </w:pPr>
    </w:lvl>
    <w:lvl w:ilvl="7" w:tplc="559A7E54">
      <w:start w:val="1"/>
      <w:numFmt w:val="bullet"/>
      <w:lvlText w:val="●"/>
      <w:lvlJc w:val="left"/>
      <w:pPr>
        <w:ind w:left="5760" w:hanging="360"/>
      </w:pPr>
    </w:lvl>
    <w:lvl w:ilvl="8" w:tplc="CA18B76E">
      <w:start w:val="1"/>
      <w:numFmt w:val="bullet"/>
      <w:lvlText w:val="●"/>
      <w:lvlJc w:val="left"/>
      <w:pPr>
        <w:ind w:left="6480" w:hanging="360"/>
      </w:pPr>
    </w:lvl>
  </w:abstractNum>
  <w:num w:numId="1" w16cid:durableId="9158216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20FE"/>
    <w:rsid w:val="005720FE"/>
    <w:rsid w:val="00A46FA3"/>
    <w:rsid w:val="00C05546"/>
    <w:rsid w:val="00F81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5DFB8"/>
  <w15:docId w15:val="{E1CBB871-EDFD-4AA5-A556-2EA28751B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363636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629</Words>
  <Characters>3588</Characters>
  <Application>Microsoft Office Word</Application>
  <DocSecurity>0</DocSecurity>
  <Lines>29</Lines>
  <Paragraphs>8</Paragraphs>
  <ScaleCrop>false</ScaleCrop>
  <Company/>
  <LinksUpToDate>false</LinksUpToDate>
  <CharactersWithSpaces>4209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Closing the Loop: A Three-Tier Framework to Divert 1M Tons of Food Waste</dc:title>
  <dc:creator>GW DSA Datathon Team</dc:creator>
  <cp:lastModifiedBy>Nagarjuna, Venkatesh B</cp:lastModifiedBy>
  <cp:revision>2</cp:revision>
  <dcterms:created xsi:type="dcterms:W3CDTF">2026-03-14T21:35:00Z</dcterms:created>
  <dcterms:modified xsi:type="dcterms:W3CDTF">2026-03-20T02:28:00Z</dcterms:modified>
</cp:coreProperties>
</file>