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bookmarkStart w:id="12" w:name="_GoBack"/>
      <w:bookmarkEnd w:id="12"/>
      <w:r>
        <w:rPr>
          <w:color w:val="000000"/>
          <w:spacing w:val="0"/>
          <w:w w:val="100"/>
          <w:position w:val="0"/>
        </w:rPr>
        <w:t>代办合同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甲方，山东种宝科技有限公司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4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乙方：博纳思（威海）商务咨询有限公司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41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乙方受甲方委托办理山东种宝科技有限公司的工商注册手续，由 乙方负责所有手续办理。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、甲乙双方的责任和义务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甲方的义务：提供需要办理企业的基本信息及签字、盖章许可等手 续材料及证明。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甲方的责任：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851"/>
        </w:tabs>
        <w:bidi w:val="0"/>
        <w:spacing w:before="0" w:after="0" w:line="625" w:lineRule="exact"/>
        <w:ind w:left="0" w:right="0" w:firstLine="30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保证提供的公司材料及证件真实有效，如有作假、延误等原因 导致未能办理或因甲方自身原因导致未能办理的，由甲方承担所有责 任，乙方不退回所付费用。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851"/>
        </w:tabs>
        <w:bidi w:val="0"/>
        <w:spacing w:before="0" w:after="0" w:line="625" w:lineRule="exact"/>
        <w:ind w:left="0" w:right="0" w:firstLine="30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甲方向乙方交付手续费用共计：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迎元人</w:t>
      </w:r>
      <w:r>
        <w:rPr>
          <w:color w:val="000000"/>
          <w:spacing w:val="0"/>
          <w:w w:val="100"/>
          <w:position w:val="0"/>
        </w:rPr>
        <w:t>民币，（定金为继 元人民币，所有注销业务完成后补齐剩余尾款。）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乙方的义务：在收到甲方资料后，进行审核及准备工商税务部门所 需的资料，及时提交到有关部门。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乙方的责任：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51"/>
        </w:tabs>
        <w:bidi w:val="0"/>
        <w:spacing w:before="0" w:after="0" w:line="625" w:lineRule="exact"/>
        <w:ind w:left="0" w:right="0" w:firstLine="30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及时的提交并保护所有材料，如果因乙方未能按照时间内去提 交或乙方操作上有问题，所有的损失和责任由乙方承担。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551"/>
        </w:tabs>
        <w:bidi w:val="0"/>
        <w:spacing w:before="0" w:after="320" w:line="625" w:lineRule="exact"/>
        <w:ind w:left="0" w:right="0" w:firstLine="30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如果因乙方操作出现注册不了或者是无法注册的情况，乙方退 回所有手续费。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二</w:t>
      </w:r>
      <w:bookmarkEnd w:id="8"/>
      <w:r>
        <w:rPr>
          <w:color w:val="000000"/>
          <w:spacing w:val="0"/>
          <w:w w:val="100"/>
          <w:position w:val="0"/>
        </w:rPr>
        <w:t>、争论解决方式 凡因执行本合同所引起的争论，双方应通过平等</w:t>
      </w:r>
      <w:r>
        <w:rPr>
          <w:color w:val="000000"/>
          <w:spacing w:val="0"/>
          <w:w w:val="100"/>
          <w:position w:val="0"/>
        </w:rPr>
        <w:br w:type="page"/>
      </w:r>
      <w:r>
        <w:rPr>
          <w:color w:val="000000"/>
          <w:spacing w:val="0"/>
          <w:w w:val="100"/>
          <w:position w:val="0"/>
        </w:rPr>
        <w:t>协商解决，若协商不成，由乙方所在地法院依法解决。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567"/>
        </w:tabs>
        <w:bidi w:val="0"/>
        <w:spacing w:before="0" w:after="0" w:line="619" w:lineRule="exact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三</w:t>
      </w:r>
      <w:bookmarkEnd w:id="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生效本合同经双方法定代表人或授权代理人签字或盖章后生效， 本合同一式两份，甲、乙双方各执一份。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567"/>
        </w:tabs>
        <w:bidi w:val="0"/>
        <w:spacing w:before="0" w:after="0" w:line="619" w:lineRule="exact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四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未尽事宜本合同若有未尽事宜，双方同意通过友好协商并签署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4990"/>
        </w:tabs>
        <w:bidi w:val="0"/>
        <w:spacing w:before="0" w:after="0" w:line="6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书面文件确定。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-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567"/>
        </w:tabs>
        <w:bidi w:val="0"/>
        <w:spacing w:before="0" w:after="0" w:line="619" w:lineRule="exact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</w:rPr>
        <w:t>五</w:t>
      </w:r>
      <w:bookmarkEnd w:id="1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公司对公账户信息：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公司名称，博纳思（威海）商务咨询有限责任公司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0"/>
        <w:jc w:val="left"/>
      </w:pP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纳税人识别号：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91371000MA3R5U137F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300" w:line="6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地址和电话：山东省威海市经济技术开发区杨家滩花园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100B</w:t>
      </w:r>
      <w:r>
        <w:rPr>
          <w:color w:val="000000"/>
          <w:spacing w:val="0"/>
          <w:w w:val="100"/>
          <w:position w:val="0"/>
        </w:rPr>
        <w:t>公寓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97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1117 </w:t>
      </w:r>
      <w:r>
        <w:rPr>
          <w:rFonts w:ascii="宋体" w:hAnsi="宋体" w:eastAsia="宋体" w:cs="宋体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 xml:space="preserve">室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0631-5977177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300" w:line="6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开户银行和账号：中国银行股份有限公司威海开发区支行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497" w:lineRule="auto"/>
        <w:ind w:left="0" w:right="0" w:firstLine="0"/>
        <w:jc w:val="left"/>
        <w:sectPr>
          <w:footnotePr>
            <w:numFmt w:val="decimal"/>
          </w:footnotePr>
          <w:pgSz w:w="11900" w:h="16840"/>
          <w:pgMar w:top="1314" w:right="1621" w:bottom="1805" w:left="1927" w:header="886" w:footer="1377" w:gutter="0"/>
          <w:pgNumType w:start="1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226041507386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1900" w:h="16840"/>
          <w:pgMar w:top="1198" w:right="0" w:bottom="1198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721" w:h="958" w:wrap="around" w:vAnchor="text" w:hAnchor="page" w:x="1946" w:y="23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甲方：（签字）</w:t>
      </w:r>
    </w:p>
    <w:p>
      <w:pPr>
        <w:pStyle w:val="7"/>
        <w:keepNext w:val="0"/>
        <w:keepLines w:val="0"/>
        <w:framePr w:w="1721" w:h="958" w:wrap="around" w:vAnchor="text" w:hAnchor="page" w:x="1946" w:y="2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盖章：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4316730</wp:posOffset>
            </wp:positionH>
            <wp:positionV relativeFrom="paragraph">
              <wp:posOffset>12700</wp:posOffset>
            </wp:positionV>
            <wp:extent cx="2517775" cy="2414270"/>
            <wp:effectExtent l="0" t="0" r="12065" b="889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61" w:line="1" w:lineRule="exact"/>
      </w:pPr>
    </w:p>
    <w:p>
      <w:pPr>
        <w:widowControl w:val="0"/>
        <w:spacing w:line="1" w:lineRule="exact"/>
      </w:pPr>
    </w:p>
    <w:sectPr>
      <w:footnotePr>
        <w:numFmt w:val="decimal"/>
      </w:footnotePr>
      <w:type w:val="continuous"/>
      <w:pgSz w:w="11900" w:h="16840"/>
      <w:pgMar w:top="1198" w:right="1145" w:bottom="1198" w:left="1929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59C5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after="220"/>
      <w:jc w:val="center"/>
      <w:outlineLvl w:val="0"/>
    </w:pPr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uiPriority w:val="0"/>
    <w:pPr>
      <w:widowControl w:val="0"/>
      <w:shd w:val="clear" w:color="auto" w:fill="auto"/>
      <w:spacing w:line="480" w:lineRule="auto"/>
      <w:ind w:firstLine="8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8">
    <w:name w:val="Body text|2_"/>
    <w:basedOn w:val="3"/>
    <w:link w:val="9"/>
    <w:uiPriority w:val="0"/>
    <w:rPr>
      <w:b/>
      <w:bCs/>
      <w:sz w:val="26"/>
      <w:szCs w:val="26"/>
      <w:u w:val="none"/>
      <w:shd w:val="clear" w:color="auto" w:fill="auto"/>
    </w:rPr>
  </w:style>
  <w:style w:type="paragraph" w:customStyle="1" w:styleId="9">
    <w:name w:val="Body text|2"/>
    <w:basedOn w:val="1"/>
    <w:link w:val="8"/>
    <w:uiPriority w:val="0"/>
    <w:pPr>
      <w:widowControl w:val="0"/>
      <w:shd w:val="clear" w:color="auto" w:fill="auto"/>
      <w:spacing w:line="499" w:lineRule="auto"/>
    </w:pPr>
    <w:rPr>
      <w:b/>
      <w:bCs/>
      <w:sz w:val="26"/>
      <w:szCs w:val="2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2020-06-28T05:36:40Z</dcterms:created>
  <dc:creator>jiang</dc:creator>
  <cp:lastModifiedBy>A東京华人网络 小姜</cp:lastModifiedBy>
  <dcterms:modified xsi:type="dcterms:W3CDTF">2020-06-28T05:36:57Z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