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i w:val="0"/>
          <w:color w:val="000000"/>
          <w:sz w:val="32"/>
        </w:rPr>
        <w:t>Diagnóstico y Plan de Transformación del Proceso de Compras hacia un Modelo de Procurement Estratégico</w:t>
      </w:r>
    </w:p>
    <w:p>
      <w:pPr>
        <w:jc w:val="center"/>
      </w:pPr>
      <w:r>
        <w:rPr>
          <w:rFonts w:ascii="Arial" w:hAnsi="Arial"/>
          <w:b w:val="0"/>
          <w:i/>
          <w:color w:val="000000"/>
          <w:sz w:val="24"/>
        </w:rPr>
        <w:t>Caso de estudio: Evolti — Desarrollo y construcción de granjas solares</w:t>
      </w:r>
    </w:p>
    <w:p/>
    <w:p/>
    <w:p/>
    <w:p/>
    <w:p/>
    <w:p>
      <w:pPr>
        <w:jc w:val="center"/>
      </w:pPr>
      <w:r>
        <w:rPr>
          <w:rFonts w:ascii="Arial" w:hAnsi="Arial"/>
          <w:b/>
          <w:i w:val="0"/>
          <w:color w:val="000000"/>
          <w:sz w:val="22"/>
        </w:rPr>
        <w:t xml:space="preserve">Presentado por: </w:t>
      </w:r>
      <w:r>
        <w:rPr>
          <w:rFonts w:ascii="Arial" w:hAnsi="Arial"/>
          <w:b w:val="0"/>
          <w:i w:val="0"/>
          <w:color w:val="000000"/>
          <w:sz w:val="22"/>
        </w:rPr>
        <w:t>[Tu nombre completo]</w:t>
      </w:r>
    </w:p>
    <w:p>
      <w:pPr>
        <w:jc w:val="center"/>
      </w:pPr>
      <w:r>
        <w:rPr>
          <w:rFonts w:ascii="Arial" w:hAnsi="Arial"/>
          <w:b/>
          <w:i w:val="0"/>
          <w:color w:val="000000"/>
          <w:sz w:val="22"/>
        </w:rPr>
        <w:t xml:space="preserve">Programa: </w:t>
      </w:r>
      <w:r>
        <w:rPr>
          <w:rFonts w:ascii="Arial" w:hAnsi="Arial"/>
          <w:b w:val="0"/>
          <w:i w:val="0"/>
          <w:color w:val="000000"/>
          <w:sz w:val="22"/>
        </w:rPr>
        <w:t>Diplomado en Procurement Estratégico y Abastecimiento Sostenible</w:t>
      </w:r>
    </w:p>
    <w:p>
      <w:pPr>
        <w:jc w:val="center"/>
      </w:pPr>
      <w:r>
        <w:rPr>
          <w:rFonts w:ascii="Arial" w:hAnsi="Arial"/>
          <w:b/>
          <w:i w:val="0"/>
          <w:color w:val="000000"/>
          <w:sz w:val="22"/>
        </w:rPr>
        <w:t xml:space="preserve">Módulo 1: </w:t>
      </w:r>
      <w:r>
        <w:rPr>
          <w:rFonts w:ascii="Arial" w:hAnsi="Arial"/>
          <w:b w:val="0"/>
          <w:i w:val="0"/>
          <w:color w:val="000000"/>
          <w:sz w:val="22"/>
        </w:rPr>
        <w:t>Fundamentos del Procurement Estratégico</w:t>
      </w:r>
    </w:p>
    <w:p>
      <w:pPr>
        <w:jc w:val="center"/>
      </w:pPr>
      <w:r>
        <w:rPr>
          <w:rFonts w:ascii="Arial" w:hAnsi="Arial"/>
          <w:b/>
          <w:i w:val="0"/>
          <w:color w:val="000000"/>
          <w:sz w:val="22"/>
        </w:rPr>
        <w:t xml:space="preserve">Institución: </w:t>
      </w:r>
      <w:r>
        <w:rPr>
          <w:rFonts w:ascii="Arial" w:hAnsi="Arial"/>
          <w:b w:val="0"/>
          <w:i w:val="0"/>
          <w:color w:val="000000"/>
          <w:sz w:val="22"/>
        </w:rPr>
        <w:t>Pontificia Universidad Javeriana Cali</w:t>
      </w:r>
    </w:p>
    <w:p>
      <w:pPr>
        <w:jc w:val="center"/>
      </w:pPr>
      <w:r>
        <w:rPr>
          <w:rFonts w:ascii="Arial" w:hAnsi="Arial"/>
          <w:b/>
          <w:i w:val="0"/>
          <w:color w:val="000000"/>
          <w:sz w:val="22"/>
        </w:rPr>
        <w:t xml:space="preserve">Rol asumido: </w:t>
      </w:r>
      <w:r>
        <w:rPr>
          <w:rFonts w:ascii="Arial" w:hAnsi="Arial"/>
          <w:b w:val="0"/>
          <w:i w:val="0"/>
          <w:color w:val="000000"/>
          <w:sz w:val="22"/>
        </w:rPr>
        <w:t>Consultora estratégica de abastecimiento</w:t>
      </w:r>
    </w:p>
    <w:p>
      <w:pPr>
        <w:jc w:val="center"/>
      </w:pPr>
      <w:r>
        <w:rPr>
          <w:rFonts w:ascii="Arial" w:hAnsi="Arial"/>
          <w:b/>
          <w:i w:val="0"/>
          <w:color w:val="000000"/>
          <w:sz w:val="22"/>
        </w:rPr>
        <w:t xml:space="preserve">Fecha: </w:t>
      </w:r>
      <w:r>
        <w:rPr>
          <w:rFonts w:ascii="Arial" w:hAnsi="Arial"/>
          <w:b w:val="0"/>
          <w:i w:val="0"/>
          <w:color w:val="000000"/>
          <w:sz w:val="22"/>
        </w:rPr>
        <w:t>[Fecha de entrega]</w:t>
      </w:r>
    </w:p>
    <w:p>
      <w:r>
        <w:br w:type="page"/>
      </w:r>
    </w:p>
    <w:p>
      <w:pPr>
        <w:keepNext/>
        <w:spacing w:before="280" w:after="120"/>
        <w:jc w:val="center"/>
      </w:pPr>
      <w:r>
        <w:rPr>
          <w:rFonts w:ascii="Arial" w:hAnsi="Arial"/>
          <w:b/>
          <w:i w:val="0"/>
          <w:color w:val="000000"/>
          <w:sz w:val="24"/>
        </w:rPr>
        <w:t>Introducción</w:t>
      </w:r>
    </w:p>
    <w:p>
      <w:pPr>
        <w:jc w:val="both"/>
      </w:pPr>
      <w:r>
        <w:rPr>
          <w:rFonts w:ascii="Arial" w:hAnsi="Arial"/>
          <w:b w:val="0"/>
          <w:i w:val="0"/>
          <w:color w:val="000000"/>
          <w:sz w:val="22"/>
        </w:rPr>
        <w:t>El presente trabajo lo desarrollo asumiendo el rol de consultora estratégica de abastecimiento para Evolti, una empresa del sector de energía solar dedicada al desarrollo y la construcción de granjas solares. Elegí esta organización porque actualmente me desempeño como analista de compras en ella y, aunque llevo poco tiempo en el área, esa cercanía con el día a día me permite observar de primera mano cómo funciona el proceso y dónde están las oportunidades de mejora.</w:t>
      </w:r>
    </w:p>
    <w:p>
      <w:pPr>
        <w:jc w:val="both"/>
      </w:pPr>
      <w:r>
        <w:rPr>
          <w:rFonts w:ascii="Arial" w:hAnsi="Arial"/>
          <w:b w:val="0"/>
          <w:i w:val="0"/>
          <w:color w:val="000000"/>
          <w:sz w:val="22"/>
        </w:rPr>
        <w:t>Mi objetivo es aplicar los conceptos vistos en el Módulo 1 —la evolución del procurement estratégico, el rol estratégico del área de compras, el gobierno de compras (procurement governance), los KPIs y la gestión del gasto (spend analysis)— para elaborar un diagnóstico del modelo actual y proponer un plan de transformación que ayude a Evolti a pasar de un esquema táctico y reactivo hacia uno más estratégico y analítico. Aclaro que parte de las cifras que utilizo son estimaciones de trabajo (con fines académicos), porque todavía estoy conociendo a fondo la información y prefiero ser transparente en eso; sin embargo, los órdenes de magnitud son coherentes con lo que se observa en proyectos de este tipo.</w:t>
      </w:r>
    </w:p>
    <w:p>
      <w:pPr>
        <w:keepNext/>
        <w:spacing w:before="280" w:after="120"/>
        <w:jc w:val="center"/>
      </w:pPr>
      <w:r>
        <w:rPr>
          <w:rFonts w:ascii="Arial" w:hAnsi="Arial"/>
          <w:b/>
          <w:i w:val="0"/>
          <w:color w:val="000000"/>
          <w:sz w:val="24"/>
        </w:rPr>
        <w:t>1. Caracterización de la organización</w:t>
      </w:r>
    </w:p>
    <w:p>
      <w:pPr>
        <w:jc w:val="both"/>
      </w:pPr>
      <w:r>
        <w:rPr>
          <w:rFonts w:ascii="Arial" w:hAnsi="Arial"/>
          <w:b w:val="0"/>
          <w:i w:val="0"/>
          <w:color w:val="000000"/>
          <w:sz w:val="22"/>
        </w:rPr>
        <w:t>Antes de entrar al diagnóstico, describo brevemente a la organización para entender su contexto de compras, porque no es lo mismo comprar para una empresa de servicios que para una que construye infraestructura.</w:t>
      </w:r>
    </w:p>
    <w:p>
      <w:pPr>
        <w:keepNext/>
        <w:spacing w:before="160" w:after="60"/>
      </w:pPr>
      <w:r>
        <w:rPr>
          <w:rFonts w:ascii="Arial" w:hAnsi="Arial"/>
          <w:b/>
          <w:i w:val="0"/>
          <w:color w:val="000000"/>
          <w:sz w:val="22"/>
        </w:rPr>
        <w:t>Tipo de organización y sector económico</w:t>
      </w:r>
    </w:p>
    <w:p>
      <w:pPr>
        <w:jc w:val="both"/>
      </w:pPr>
      <w:r>
        <w:rPr>
          <w:rFonts w:ascii="Arial" w:hAnsi="Arial"/>
          <w:b w:val="0"/>
          <w:i w:val="0"/>
          <w:color w:val="000000"/>
          <w:sz w:val="22"/>
        </w:rPr>
        <w:t>Evolti es una empresa privada del sector de energías renovables, específicamente energía solar fotovoltaica. Su actividad principal es el desarrollo, la ingeniería y la construcción (modelo tipo EPC: ingeniería, aprovisionamiento y construcción) de granjas solares, es decir, plantas de generación de energía a partir del sol. Esto significa que su negocio combina componentes de ingeniería, de construcción y de compras técnicas especializadas, lo que hace que el abastecimiento sea un factor crítico para cumplir los cronogramas y los presupuestos de cada proyecto.</w:t>
      </w:r>
    </w:p>
    <w:p>
      <w:pPr>
        <w:keepNext/>
        <w:spacing w:before="160" w:after="60"/>
      </w:pPr>
      <w:r>
        <w:rPr>
          <w:rFonts w:ascii="Arial" w:hAnsi="Arial"/>
          <w:b/>
          <w:i w:val="0"/>
          <w:color w:val="000000"/>
          <w:sz w:val="22"/>
        </w:rPr>
        <w:t>Tamaño</w:t>
      </w:r>
    </w:p>
    <w:p>
      <w:pPr>
        <w:jc w:val="both"/>
      </w:pPr>
      <w:r>
        <w:rPr>
          <w:rFonts w:ascii="Arial" w:hAnsi="Arial"/>
          <w:b w:val="0"/>
          <w:i w:val="0"/>
          <w:color w:val="000000"/>
          <w:sz w:val="22"/>
        </w:rPr>
        <w:t>Para efectos de este trabajo la ubico como una empresa mediana en crecimiento, con una operación organizada por proyectos. El gasto en compras y contratación (paneles, estructuras, obra civil, equipos eléctricos y servicios) representa una porción muy alta del costo total de cada proyecto, característica típica de las empresas EPC, donde el rubro de materiales y subcontratos suele superar el 70 % del valor de la obra. Por eso el área de compras tiene un peso enorme en el resultado final del negocio, aunque a veces desde adentro no se le da esa importancia.</w:t>
      </w:r>
    </w:p>
    <w:p>
      <w:pPr>
        <w:keepNext/>
        <w:spacing w:before="160" w:after="60"/>
      </w:pPr>
      <w:r>
        <w:rPr>
          <w:rFonts w:ascii="Arial" w:hAnsi="Arial"/>
          <w:b/>
          <w:i w:val="0"/>
          <w:color w:val="000000"/>
          <w:sz w:val="22"/>
        </w:rPr>
        <w:t>Principales categorías de compra</w:t>
      </w:r>
    </w:p>
    <w:p>
      <w:pPr>
        <w:jc w:val="both"/>
      </w:pPr>
      <w:r>
        <w:rPr>
          <w:rFonts w:ascii="Arial" w:hAnsi="Arial"/>
          <w:b w:val="0"/>
          <w:i w:val="0"/>
          <w:color w:val="000000"/>
          <w:sz w:val="22"/>
        </w:rPr>
        <w:t>Las principales categorías que identifico en Evolti son:</w:t>
      </w:r>
    </w:p>
    <w:p>
      <w:pPr>
        <w:pStyle w:val="ListBullet"/>
        <w:jc w:val="both"/>
      </w:pPr>
      <w:r>
        <w:rPr>
          <w:rFonts w:ascii="Arial" w:hAnsi="Arial"/>
          <w:b w:val="0"/>
          <w:i w:val="0"/>
          <w:color w:val="000000"/>
          <w:sz w:val="22"/>
        </w:rPr>
        <w:t>Componentes fotovoltaicos: paneles/módulos solares, inversores y equipos de conversión de energía.</w:t>
      </w:r>
    </w:p>
    <w:p>
      <w:pPr>
        <w:pStyle w:val="ListBullet"/>
        <w:jc w:val="both"/>
      </w:pPr>
      <w:r>
        <w:rPr>
          <w:rFonts w:ascii="Arial" w:hAnsi="Arial"/>
          <w:b w:val="0"/>
          <w:i w:val="0"/>
          <w:color w:val="000000"/>
          <w:sz w:val="22"/>
        </w:rPr>
        <w:t>Estructuras y soportería: sistemas de montaje (fijos o con seguidores), estructuras metálicas y anclajes.</w:t>
      </w:r>
    </w:p>
    <w:p>
      <w:pPr>
        <w:pStyle w:val="ListBullet"/>
        <w:jc w:val="both"/>
      </w:pPr>
      <w:r>
        <w:rPr>
          <w:rFonts w:ascii="Arial" w:hAnsi="Arial"/>
          <w:b w:val="0"/>
          <w:i w:val="0"/>
          <w:color w:val="000000"/>
          <w:sz w:val="22"/>
        </w:rPr>
        <w:t>Materiales eléctricos: cableado, tableros, transformadores, protecciones y sistemas de conexión (BOS).</w:t>
      </w:r>
    </w:p>
    <w:p>
      <w:pPr>
        <w:pStyle w:val="ListBullet"/>
        <w:jc w:val="both"/>
      </w:pPr>
      <w:r>
        <w:rPr>
          <w:rFonts w:ascii="Arial" w:hAnsi="Arial"/>
          <w:b w:val="0"/>
          <w:i w:val="0"/>
          <w:color w:val="000000"/>
          <w:sz w:val="22"/>
        </w:rPr>
        <w:t>Obra civil y montaje: movimientos de tierra, cimentaciones, cerramientos y mano de obra subcontratada.</w:t>
      </w:r>
    </w:p>
    <w:p>
      <w:pPr>
        <w:pStyle w:val="ListBullet"/>
        <w:jc w:val="both"/>
      </w:pPr>
      <w:r>
        <w:rPr>
          <w:rFonts w:ascii="Arial" w:hAnsi="Arial"/>
          <w:b w:val="0"/>
          <w:i w:val="0"/>
          <w:color w:val="000000"/>
          <w:sz w:val="22"/>
        </w:rPr>
        <w:t>Servicios profesionales y logística: ingeniería, transporte de carga pesada, alquiler de maquinaria y pólizas.</w:t>
      </w:r>
    </w:p>
    <w:p>
      <w:pPr>
        <w:keepNext/>
        <w:spacing w:before="160" w:after="60"/>
      </w:pPr>
      <w:r>
        <w:rPr>
          <w:rFonts w:ascii="Arial" w:hAnsi="Arial"/>
          <w:b/>
          <w:i w:val="0"/>
          <w:color w:val="000000"/>
          <w:sz w:val="22"/>
        </w:rPr>
        <w:t>Riesgos visibles del proceso de compras</w:t>
      </w:r>
    </w:p>
    <w:p>
      <w:pPr>
        <w:jc w:val="both"/>
      </w:pPr>
      <w:r>
        <w:rPr>
          <w:rFonts w:ascii="Arial" w:hAnsi="Arial"/>
          <w:b w:val="0"/>
          <w:i w:val="0"/>
          <w:color w:val="000000"/>
          <w:sz w:val="22"/>
        </w:rPr>
        <w:t>Desde mi observación en el día a día, los riesgos más visibles del proceso de compras son:</w:t>
      </w:r>
    </w:p>
    <w:p>
      <w:pPr>
        <w:pStyle w:val="ListBullet"/>
        <w:jc w:val="both"/>
      </w:pPr>
      <w:r>
        <w:rPr>
          <w:rFonts w:ascii="Arial" w:hAnsi="Arial"/>
          <w:b w:val="0"/>
          <w:i w:val="0"/>
          <w:color w:val="000000"/>
          <w:sz w:val="22"/>
        </w:rPr>
        <w:t>Alta dependencia de proveedores internacionales de paneles e inversores, lo que expone a la empresa a la volatilidad de precios, la tasa de cambio y los tiempos de importación.</w:t>
      </w:r>
    </w:p>
    <w:p>
      <w:pPr>
        <w:pStyle w:val="ListBullet"/>
        <w:jc w:val="both"/>
      </w:pPr>
      <w:r>
        <w:rPr>
          <w:rFonts w:ascii="Arial" w:hAnsi="Arial"/>
          <w:b w:val="0"/>
          <w:i w:val="0"/>
          <w:color w:val="000000"/>
          <w:sz w:val="22"/>
        </w:rPr>
        <w:t>Compras urgentes y a última hora cuando un proyecto se atrasa, que muchas veces se pagan más caras y sin comparar cotizaciones (esto se relaciona con lo que en el módulo se llama maverick spend).</w:t>
      </w:r>
    </w:p>
    <w:p>
      <w:pPr>
        <w:pStyle w:val="ListBullet"/>
        <w:jc w:val="both"/>
      </w:pPr>
      <w:r>
        <w:rPr>
          <w:rFonts w:ascii="Arial" w:hAnsi="Arial"/>
          <w:b w:val="0"/>
          <w:i w:val="0"/>
          <w:color w:val="000000"/>
          <w:sz w:val="22"/>
        </w:rPr>
        <w:t>Concentración del gasto en pocos proveedores críticos, sin un plan de contingencia claro si uno falla.</w:t>
      </w:r>
    </w:p>
    <w:p>
      <w:pPr>
        <w:pStyle w:val="ListBullet"/>
        <w:jc w:val="both"/>
      </w:pPr>
      <w:r>
        <w:rPr>
          <w:rFonts w:ascii="Arial" w:hAnsi="Arial"/>
          <w:b w:val="0"/>
          <w:i w:val="0"/>
          <w:color w:val="000000"/>
          <w:sz w:val="22"/>
        </w:rPr>
        <w:t>Trazabilidad limitada: la información de compras está dispersa en correos y archivos de Excel, lo que dificulta saber con certeza cuánto se gasta por categoría o por proveedor.</w:t>
      </w:r>
    </w:p>
    <w:p>
      <w:pPr>
        <w:pStyle w:val="ListBullet"/>
        <w:jc w:val="both"/>
      </w:pPr>
      <w:r>
        <w:rPr>
          <w:rFonts w:ascii="Arial" w:hAnsi="Arial"/>
          <w:b w:val="0"/>
          <w:i w:val="0"/>
          <w:color w:val="000000"/>
          <w:sz w:val="22"/>
        </w:rPr>
        <w:t>Riesgo de continuidad: si un panel o un transformador no llega a tiempo, se frena toda la obra, y el impacto económico de un día de retraso es alto.</w:t>
      </w:r>
    </w:p>
    <w:p>
      <w:pPr>
        <w:keepNext/>
        <w:spacing w:before="280" w:after="120"/>
        <w:jc w:val="center"/>
      </w:pPr>
      <w:r>
        <w:rPr>
          <w:rFonts w:ascii="Arial" w:hAnsi="Arial"/>
          <w:b/>
          <w:i w:val="0"/>
          <w:color w:val="000000"/>
          <w:sz w:val="24"/>
        </w:rPr>
        <w:t>2. Diagnóstico del modelo actual de compras</w:t>
      </w:r>
    </w:p>
    <w:p>
      <w:pPr>
        <w:jc w:val="both"/>
      </w:pPr>
      <w:r>
        <w:rPr>
          <w:rFonts w:ascii="Arial" w:hAnsi="Arial"/>
          <w:b w:val="0"/>
          <w:i w:val="0"/>
          <w:color w:val="000000"/>
          <w:sz w:val="22"/>
        </w:rPr>
        <w:t>En esta sección analizo el estado actual del proceso. Trato de ser honesta con lo que veo, sin exagerar, porque el propósito es mejorar y no criticar el trabajo de nadie.</w:t>
      </w:r>
    </w:p>
    <w:p>
      <w:pPr>
        <w:keepNext/>
        <w:spacing w:before="160" w:after="60"/>
      </w:pPr>
      <w:r>
        <w:rPr>
          <w:rFonts w:ascii="Arial" w:hAnsi="Arial"/>
          <w:b/>
          <w:i w:val="0"/>
          <w:color w:val="000000"/>
          <w:sz w:val="22"/>
        </w:rPr>
        <w:t>Nivel de madurez del procurement</w:t>
      </w:r>
    </w:p>
    <w:p>
      <w:pPr>
        <w:jc w:val="both"/>
      </w:pPr>
      <w:r>
        <w:rPr>
          <w:rFonts w:ascii="Arial" w:hAnsi="Arial"/>
          <w:b w:val="0"/>
          <w:i w:val="0"/>
          <w:color w:val="000000"/>
          <w:sz w:val="22"/>
        </w:rPr>
        <w:t>Utilizando la idea de la evolución del procurement vista en el módulo (el paso de un rol de “purchasing” meramente operativo hacia un “supply management” estratégico), ubico a Evolti en un nivel de madurez táctico–reactivo, con algunos avances puntuales. Es decir, compras cumple bien la función de “conseguir lo que se necesita”, pero todavía actúa más como un área que responde a pedidos que como un área que planifica y aporta valor estratégico. La Tabla 1 resume cómo veo cada dimensión.</w:t>
      </w:r>
    </w:p>
    <w:p>
      <w:pPr>
        <w:spacing w:before="120" w:after="0"/>
      </w:pPr>
      <w:r>
        <w:rPr>
          <w:rFonts w:ascii="Arial" w:hAnsi="Arial"/>
          <w:b/>
          <w:i w:val="0"/>
          <w:color w:val="000000"/>
          <w:sz w:val="20"/>
        </w:rPr>
        <w:t>Tabla 1</w:t>
      </w:r>
    </w:p>
    <w:p>
      <w:pPr>
        <w:spacing w:after="160"/>
        <w:jc w:val="left"/>
      </w:pPr>
      <w:r>
        <w:rPr>
          <w:rFonts w:ascii="Arial" w:hAnsi="Arial"/>
          <w:b w:val="0"/>
          <w:i/>
          <w:color w:val="000000"/>
          <w:sz w:val="18"/>
        </w:rPr>
        <w:t>Diagnóstico de madurez del procurement en Evolti</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D9D9"/>
          </w:tcPr>
          <w:p>
            <w:r/>
            <w:r>
              <w:rPr>
                <w:rFonts w:ascii="Arial" w:hAnsi="Arial"/>
                <w:b/>
                <w:i w:val="0"/>
                <w:color w:val="000000"/>
                <w:sz w:val="18"/>
              </w:rPr>
              <w:t>Dimensión</w:t>
            </w:r>
          </w:p>
        </w:tc>
        <w:tc>
          <w:tcPr>
            <w:tcW w:type="dxa" w:w="5184"/>
            <w:shd w:val="clear" w:color="auto" w:fill="D9D9D9"/>
          </w:tcPr>
          <w:p>
            <w:r/>
            <w:r>
              <w:rPr>
                <w:rFonts w:ascii="Arial" w:hAnsi="Arial"/>
                <w:b/>
                <w:i w:val="0"/>
                <w:color w:val="000000"/>
                <w:sz w:val="18"/>
              </w:rPr>
              <w:t>Situación actual observada</w:t>
            </w:r>
          </w:p>
        </w:tc>
        <w:tc>
          <w:tcPr>
            <w:tcW w:type="dxa" w:w="1296"/>
            <w:shd w:val="clear" w:color="auto" w:fill="D9D9D9"/>
          </w:tcPr>
          <w:p>
            <w:r/>
            <w:r>
              <w:rPr>
                <w:rFonts w:ascii="Arial" w:hAnsi="Arial"/>
                <w:b/>
                <w:i w:val="0"/>
                <w:color w:val="000000"/>
                <w:sz w:val="18"/>
              </w:rPr>
              <w:t>Nivel</w:t>
            </w:r>
          </w:p>
        </w:tc>
      </w:tr>
      <w:tr>
        <w:tc>
          <w:tcPr>
            <w:tcW w:type="dxa" w:w="2304"/>
          </w:tcPr>
          <w:p>
            <w:r/>
            <w:r>
              <w:rPr>
                <w:rFonts w:ascii="Arial" w:hAnsi="Arial"/>
                <w:b w:val="0"/>
                <w:i w:val="0"/>
                <w:color w:val="000000"/>
                <w:sz w:val="18"/>
              </w:rPr>
              <w:t>Enfoque del área</w:t>
            </w:r>
          </w:p>
        </w:tc>
        <w:tc>
          <w:tcPr>
            <w:tcW w:type="dxa" w:w="5184"/>
          </w:tcPr>
          <w:p>
            <w:r/>
            <w:r>
              <w:rPr>
                <w:rFonts w:ascii="Arial" w:hAnsi="Arial"/>
                <w:b w:val="0"/>
                <w:i w:val="0"/>
                <w:color w:val="000000"/>
                <w:sz w:val="18"/>
              </w:rPr>
              <w:t>Reactivo: responde a requisiciones de obra, poca planeación anticipada.</w:t>
            </w:r>
          </w:p>
        </w:tc>
        <w:tc>
          <w:tcPr>
            <w:tcW w:type="dxa" w:w="1296"/>
          </w:tcPr>
          <w:p>
            <w:r/>
            <w:r>
              <w:rPr>
                <w:rFonts w:ascii="Arial" w:hAnsi="Arial"/>
                <w:b w:val="0"/>
                <w:i w:val="0"/>
                <w:color w:val="000000"/>
                <w:sz w:val="18"/>
              </w:rPr>
              <w:t>Táctico</w:t>
            </w:r>
          </w:p>
        </w:tc>
      </w:tr>
      <w:tr>
        <w:tc>
          <w:tcPr>
            <w:tcW w:type="dxa" w:w="2304"/>
          </w:tcPr>
          <w:p>
            <w:r/>
            <w:r>
              <w:rPr>
                <w:rFonts w:ascii="Arial" w:hAnsi="Arial"/>
                <w:b w:val="0"/>
                <w:i w:val="0"/>
                <w:color w:val="000000"/>
                <w:sz w:val="18"/>
              </w:rPr>
              <w:t>Uso de datos</w:t>
            </w:r>
          </w:p>
        </w:tc>
        <w:tc>
          <w:tcPr>
            <w:tcW w:type="dxa" w:w="5184"/>
          </w:tcPr>
          <w:p>
            <w:r/>
            <w:r>
              <w:rPr>
                <w:rFonts w:ascii="Arial" w:hAnsi="Arial"/>
                <w:b w:val="0"/>
                <w:i w:val="0"/>
                <w:color w:val="000000"/>
                <w:sz w:val="18"/>
              </w:rPr>
              <w:t>Información en Excel y correos; no hay spend analysis formal.</w:t>
            </w:r>
          </w:p>
        </w:tc>
        <w:tc>
          <w:tcPr>
            <w:tcW w:type="dxa" w:w="1296"/>
          </w:tcPr>
          <w:p>
            <w:r/>
            <w:r>
              <w:rPr>
                <w:rFonts w:ascii="Arial" w:hAnsi="Arial"/>
                <w:b w:val="0"/>
                <w:i w:val="0"/>
                <w:color w:val="000000"/>
                <w:sz w:val="18"/>
              </w:rPr>
              <w:t>Inicial</w:t>
            </w:r>
          </w:p>
        </w:tc>
      </w:tr>
      <w:tr>
        <w:tc>
          <w:tcPr>
            <w:tcW w:type="dxa" w:w="2304"/>
          </w:tcPr>
          <w:p>
            <w:r/>
            <w:r>
              <w:rPr>
                <w:rFonts w:ascii="Arial" w:hAnsi="Arial"/>
                <w:b w:val="0"/>
                <w:i w:val="0"/>
                <w:color w:val="000000"/>
                <w:sz w:val="18"/>
              </w:rPr>
              <w:t>Relación con proveedores</w:t>
            </w:r>
          </w:p>
        </w:tc>
        <w:tc>
          <w:tcPr>
            <w:tcW w:type="dxa" w:w="5184"/>
          </w:tcPr>
          <w:p>
            <w:r/>
            <w:r>
              <w:rPr>
                <w:rFonts w:ascii="Arial" w:hAnsi="Arial"/>
                <w:b w:val="0"/>
                <w:i w:val="0"/>
                <w:color w:val="000000"/>
                <w:sz w:val="18"/>
              </w:rPr>
              <w:t>Transaccional; se elige mucho por precio y disponibilidad.</w:t>
            </w:r>
          </w:p>
        </w:tc>
        <w:tc>
          <w:tcPr>
            <w:tcW w:type="dxa" w:w="1296"/>
          </w:tcPr>
          <w:p>
            <w:r/>
            <w:r>
              <w:rPr>
                <w:rFonts w:ascii="Arial" w:hAnsi="Arial"/>
                <w:b w:val="0"/>
                <w:i w:val="0"/>
                <w:color w:val="000000"/>
                <w:sz w:val="18"/>
              </w:rPr>
              <w:t>Básico</w:t>
            </w:r>
          </w:p>
        </w:tc>
      </w:tr>
      <w:tr>
        <w:tc>
          <w:tcPr>
            <w:tcW w:type="dxa" w:w="2304"/>
          </w:tcPr>
          <w:p>
            <w:r/>
            <w:r>
              <w:rPr>
                <w:rFonts w:ascii="Arial" w:hAnsi="Arial"/>
                <w:b w:val="0"/>
                <w:i w:val="0"/>
                <w:color w:val="000000"/>
                <w:sz w:val="18"/>
              </w:rPr>
              <w:t>Gobierno y políticas</w:t>
            </w:r>
          </w:p>
        </w:tc>
        <w:tc>
          <w:tcPr>
            <w:tcW w:type="dxa" w:w="5184"/>
          </w:tcPr>
          <w:p>
            <w:r/>
            <w:r>
              <w:rPr>
                <w:rFonts w:ascii="Arial" w:hAnsi="Arial"/>
                <w:b w:val="0"/>
                <w:i w:val="0"/>
                <w:color w:val="000000"/>
                <w:sz w:val="18"/>
              </w:rPr>
              <w:t>Existen prácticas, pero poco documentadas y con controles informales.</w:t>
            </w:r>
          </w:p>
        </w:tc>
        <w:tc>
          <w:tcPr>
            <w:tcW w:type="dxa" w:w="1296"/>
          </w:tcPr>
          <w:p>
            <w:r/>
            <w:r>
              <w:rPr>
                <w:rFonts w:ascii="Arial" w:hAnsi="Arial"/>
                <w:b w:val="0"/>
                <w:i w:val="0"/>
                <w:color w:val="000000"/>
                <w:sz w:val="18"/>
              </w:rPr>
              <w:t>Bajo</w:t>
            </w:r>
          </w:p>
        </w:tc>
      </w:tr>
      <w:tr>
        <w:tc>
          <w:tcPr>
            <w:tcW w:type="dxa" w:w="2304"/>
          </w:tcPr>
          <w:p>
            <w:r/>
            <w:r>
              <w:rPr>
                <w:rFonts w:ascii="Arial" w:hAnsi="Arial"/>
                <w:b w:val="0"/>
                <w:i w:val="0"/>
                <w:color w:val="000000"/>
                <w:sz w:val="18"/>
              </w:rPr>
              <w:t>Indicadores (KPIs)</w:t>
            </w:r>
          </w:p>
        </w:tc>
        <w:tc>
          <w:tcPr>
            <w:tcW w:type="dxa" w:w="5184"/>
          </w:tcPr>
          <w:p>
            <w:r/>
            <w:r>
              <w:rPr>
                <w:rFonts w:ascii="Arial" w:hAnsi="Arial"/>
                <w:b w:val="0"/>
                <w:i w:val="0"/>
                <w:color w:val="000000"/>
                <w:sz w:val="18"/>
              </w:rPr>
              <w:t>Se mide poco; casi todo es “cuánto costó” y “si llegó”.</w:t>
            </w:r>
          </w:p>
        </w:tc>
        <w:tc>
          <w:tcPr>
            <w:tcW w:type="dxa" w:w="1296"/>
          </w:tcPr>
          <w:p>
            <w:r/>
            <w:r>
              <w:rPr>
                <w:rFonts w:ascii="Arial" w:hAnsi="Arial"/>
                <w:b w:val="0"/>
                <w:i w:val="0"/>
                <w:color w:val="000000"/>
                <w:sz w:val="18"/>
              </w:rPr>
              <w:t>Inicial</w:t>
            </w:r>
          </w:p>
        </w:tc>
      </w:tr>
      <w:tr>
        <w:tc>
          <w:tcPr>
            <w:tcW w:type="dxa" w:w="2304"/>
          </w:tcPr>
          <w:p>
            <w:r/>
            <w:r>
              <w:rPr>
                <w:rFonts w:ascii="Arial" w:hAnsi="Arial"/>
                <w:b w:val="0"/>
                <w:i w:val="0"/>
                <w:color w:val="000000"/>
                <w:sz w:val="18"/>
              </w:rPr>
              <w:t>Sostenibilidad</w:t>
            </w:r>
          </w:p>
        </w:tc>
        <w:tc>
          <w:tcPr>
            <w:tcW w:type="dxa" w:w="5184"/>
          </w:tcPr>
          <w:p>
            <w:r/>
            <w:r>
              <w:rPr>
                <w:rFonts w:ascii="Arial" w:hAnsi="Arial"/>
                <w:b w:val="0"/>
                <w:i w:val="0"/>
                <w:color w:val="000000"/>
                <w:sz w:val="18"/>
              </w:rPr>
              <w:t>No formalizada como criterio de compra todavía.</w:t>
            </w:r>
          </w:p>
        </w:tc>
        <w:tc>
          <w:tcPr>
            <w:tcW w:type="dxa" w:w="1296"/>
          </w:tcPr>
          <w:p>
            <w:r/>
            <w:r>
              <w:rPr>
                <w:rFonts w:ascii="Arial" w:hAnsi="Arial"/>
                <w:b w:val="0"/>
                <w:i w:val="0"/>
                <w:color w:val="000000"/>
                <w:sz w:val="18"/>
              </w:rPr>
              <w:t>Incipiente</w:t>
            </w:r>
          </w:p>
        </w:tc>
      </w:tr>
    </w:tbl>
    <w:p>
      <w:pPr>
        <w:spacing w:after="40"/>
      </w:pPr>
    </w:p>
    <w:p>
      <w:pPr>
        <w:spacing w:after="160"/>
        <w:jc w:val="left"/>
      </w:pPr>
      <w:r>
        <w:rPr>
          <w:rFonts w:ascii="Arial" w:hAnsi="Arial"/>
          <w:b w:val="0"/>
          <w:i/>
          <w:color w:val="000000"/>
          <w:sz w:val="18"/>
        </w:rPr>
        <w:t>Nota. Elaboración propia con base en los contenidos del Módulo 1 (Pontificia Universidad Javeriana Cali, 2026).</w:t>
      </w:r>
    </w:p>
    <w:p>
      <w:pPr>
        <w:keepNext/>
        <w:spacing w:before="160" w:after="60"/>
      </w:pPr>
      <w:r>
        <w:rPr>
          <w:rFonts w:ascii="Arial" w:hAnsi="Arial"/>
          <w:b/>
          <w:i w:val="0"/>
          <w:color w:val="000000"/>
          <w:sz w:val="22"/>
        </w:rPr>
        <w:t>Problemas operativos</w:t>
      </w:r>
    </w:p>
    <w:p>
      <w:pPr>
        <w:pStyle w:val="ListBullet"/>
        <w:jc w:val="both"/>
      </w:pPr>
      <w:r>
        <w:rPr>
          <w:rFonts w:ascii="Arial" w:hAnsi="Arial"/>
          <w:b w:val="0"/>
          <w:i w:val="0"/>
          <w:color w:val="000000"/>
          <w:sz w:val="22"/>
        </w:rPr>
        <w:t>Requisiciones que llegan sin suficiente anticipación, lo que obliga a comprar contra reloj.</w:t>
      </w:r>
    </w:p>
    <w:p>
      <w:pPr>
        <w:pStyle w:val="ListBullet"/>
        <w:jc w:val="both"/>
      </w:pPr>
      <w:r>
        <w:rPr>
          <w:rFonts w:ascii="Arial" w:hAnsi="Arial"/>
          <w:b w:val="0"/>
          <w:i w:val="0"/>
          <w:color w:val="000000"/>
          <w:sz w:val="22"/>
        </w:rPr>
        <w:t>Falta de un catálogo o de especificaciones estandarizadas, por lo que cada compra se cotiza casi desde cero.</w:t>
      </w:r>
    </w:p>
    <w:p>
      <w:pPr>
        <w:pStyle w:val="ListBullet"/>
        <w:jc w:val="both"/>
      </w:pPr>
      <w:r>
        <w:rPr>
          <w:rFonts w:ascii="Arial" w:hAnsi="Arial"/>
          <w:b w:val="0"/>
          <w:i w:val="0"/>
          <w:color w:val="000000"/>
          <w:sz w:val="22"/>
        </w:rPr>
        <w:t>Cotizaciones y aprobaciones que se manejan por correo, sin un flujo claro ni un sistema que deje trazabilidad.</w:t>
      </w:r>
    </w:p>
    <w:p>
      <w:pPr>
        <w:pStyle w:val="ListBullet"/>
        <w:jc w:val="both"/>
      </w:pPr>
      <w:r>
        <w:rPr>
          <w:rFonts w:ascii="Arial" w:hAnsi="Arial"/>
          <w:b w:val="0"/>
          <w:i w:val="0"/>
          <w:color w:val="000000"/>
          <w:sz w:val="22"/>
        </w:rPr>
        <w:t>Poca visibilidad del gasto consolidado: cuesta responder rápido preguntas como “¿cuánto le compramos a este proveedor en el año?”.</w:t>
      </w:r>
    </w:p>
    <w:p>
      <w:pPr>
        <w:keepNext/>
        <w:spacing w:before="160" w:after="60"/>
      </w:pPr>
      <w:r>
        <w:rPr>
          <w:rFonts w:ascii="Arial" w:hAnsi="Arial"/>
          <w:b/>
          <w:i w:val="0"/>
          <w:color w:val="000000"/>
          <w:sz w:val="22"/>
        </w:rPr>
        <w:t>Riesgos de integridad o maverick spend</w:t>
      </w:r>
    </w:p>
    <w:p>
      <w:pPr>
        <w:jc w:val="both"/>
      </w:pPr>
      <w:r>
        <w:rPr>
          <w:rFonts w:ascii="Arial" w:hAnsi="Arial"/>
          <w:b w:val="0"/>
          <w:i w:val="0"/>
          <w:color w:val="000000"/>
          <w:sz w:val="22"/>
        </w:rPr>
        <w:t>El maverick spend (compras que se hacen por fuera de los canales y contratos definidos) es un riesgo real en un entorno de obra, donde la presión por cumplir el cronograma lleva a “saltarse” el proceso. En Evolti esto se ve, por ejemplo, cuando un frente de obra compra directamente un material urgente sin pasar por compras. Además del sobrecosto, esto reduce el control y abre la puerta a riesgos de integridad, como adjudicar siempre al mismo proveedor sin comparar, o la falta de segregación de funciones (que la misma persona pida, apruebe y reciba). El módulo insiste en que la separación entre solicitar, adjudicar y pagar es clave para la transparencia.</w:t>
      </w:r>
    </w:p>
    <w:p>
      <w:pPr>
        <w:keepNext/>
        <w:spacing w:before="160" w:after="60"/>
      </w:pPr>
      <w:r>
        <w:rPr>
          <w:rFonts w:ascii="Arial" w:hAnsi="Arial"/>
          <w:b/>
          <w:i w:val="0"/>
          <w:color w:val="000000"/>
          <w:sz w:val="22"/>
        </w:rPr>
        <w:t>Centralización vs. descentralización</w:t>
      </w:r>
    </w:p>
    <w:p>
      <w:pPr>
        <w:jc w:val="both"/>
      </w:pPr>
      <w:r>
        <w:rPr>
          <w:rFonts w:ascii="Arial" w:hAnsi="Arial"/>
          <w:b w:val="0"/>
          <w:i w:val="0"/>
          <w:color w:val="000000"/>
          <w:sz w:val="22"/>
        </w:rPr>
        <w:t>Hoy el modelo es mixto pero desordenado: existe un área de compras central, pero en la práctica los proyectos toman muchas decisiones de compra por su cuenta cuando hay urgencia. No es un modelo híbrido bien diseñado, sino más bien una descentralización “de hecho”. Esto genera duplicidad de esfuerzos y pérdida de poder de negociación, porque se compra lo mismo desde varios frentes en lugar de consolidar volúmenes.</w:t>
      </w:r>
    </w:p>
    <w:p>
      <w:pPr>
        <w:keepNext/>
        <w:spacing w:before="160" w:after="60"/>
      </w:pPr>
      <w:r>
        <w:rPr>
          <w:rFonts w:ascii="Arial" w:hAnsi="Arial"/>
          <w:b/>
          <w:i w:val="0"/>
          <w:color w:val="000000"/>
          <w:sz w:val="22"/>
        </w:rPr>
        <w:t>Principales debilidades del proceso</w:t>
      </w:r>
    </w:p>
    <w:p>
      <w:pPr>
        <w:pStyle w:val="ListBullet"/>
        <w:jc w:val="both"/>
      </w:pPr>
      <w:r>
        <w:rPr>
          <w:rFonts w:ascii="Arial" w:hAnsi="Arial"/>
          <w:b w:val="0"/>
          <w:i w:val="0"/>
          <w:color w:val="000000"/>
          <w:sz w:val="22"/>
        </w:rPr>
        <w:t>Falta de información confiable y consolidada para tomar decisiones (no hay una base de datos limpia del gasto).</w:t>
      </w:r>
    </w:p>
    <w:p>
      <w:pPr>
        <w:pStyle w:val="ListBullet"/>
        <w:jc w:val="both"/>
      </w:pPr>
      <w:r>
        <w:rPr>
          <w:rFonts w:ascii="Arial" w:hAnsi="Arial"/>
          <w:b w:val="0"/>
          <w:i w:val="0"/>
          <w:color w:val="000000"/>
          <w:sz w:val="22"/>
        </w:rPr>
        <w:t>Ausencia de una segmentación del gasto que permita saber dónde enfocar el esfuerzo de negociación.</w:t>
      </w:r>
    </w:p>
    <w:p>
      <w:pPr>
        <w:pStyle w:val="ListBullet"/>
        <w:jc w:val="both"/>
      </w:pPr>
      <w:r>
        <w:rPr>
          <w:rFonts w:ascii="Arial" w:hAnsi="Arial"/>
          <w:b w:val="0"/>
          <w:i w:val="0"/>
          <w:color w:val="000000"/>
          <w:sz w:val="22"/>
        </w:rPr>
        <w:t>Controles internos y políticas poco formalizados.</w:t>
      </w:r>
    </w:p>
    <w:p>
      <w:pPr>
        <w:pStyle w:val="ListBullet"/>
        <w:jc w:val="both"/>
      </w:pPr>
      <w:r>
        <w:rPr>
          <w:rFonts w:ascii="Arial" w:hAnsi="Arial"/>
          <w:b w:val="0"/>
          <w:i w:val="0"/>
          <w:color w:val="000000"/>
          <w:sz w:val="22"/>
        </w:rPr>
        <w:t>Dependencia de pocos proveedores críticos sin plan de continuidad.</w:t>
      </w:r>
    </w:p>
    <w:p>
      <w:pPr>
        <w:pStyle w:val="ListBullet"/>
        <w:jc w:val="both"/>
      </w:pPr>
      <w:r>
        <w:rPr>
          <w:rFonts w:ascii="Arial" w:hAnsi="Arial"/>
          <w:b w:val="0"/>
          <w:i w:val="0"/>
          <w:color w:val="000000"/>
          <w:sz w:val="22"/>
        </w:rPr>
        <w:t>Medición débil del desempeño (pocos KPIs y casi ninguno estratégico).</w:t>
      </w:r>
    </w:p>
    <w:p>
      <w:pPr>
        <w:keepNext/>
        <w:spacing w:before="280" w:after="120"/>
        <w:jc w:val="center"/>
      </w:pPr>
      <w:r>
        <w:rPr>
          <w:rFonts w:ascii="Arial" w:hAnsi="Arial"/>
          <w:b/>
          <w:i w:val="0"/>
          <w:color w:val="000000"/>
          <w:sz w:val="24"/>
        </w:rPr>
        <w:t>3. Construcción del árbol de categorías</w:t>
      </w:r>
    </w:p>
    <w:p>
      <w:pPr>
        <w:jc w:val="both"/>
      </w:pPr>
      <w:r>
        <w:rPr>
          <w:rFonts w:ascii="Arial" w:hAnsi="Arial"/>
          <w:b w:val="0"/>
          <w:i w:val="0"/>
          <w:color w:val="000000"/>
          <w:sz w:val="22"/>
        </w:rPr>
        <w:t>Siguiendo el paso 1 de la metodología de gestión del gasto del módulo, organizo el gasto en un árbol de categorías (Categoría → Subcategoría). Esto da visibilidad y permite después aplicar estrategias diferenciadas. Diseñé cuatro categorías principales con dos subcategorías cada una, pensadas para el negocio de granjas solares (ver Tabla 2).</w:t>
      </w:r>
    </w:p>
    <w:p>
      <w:pPr>
        <w:spacing w:before="120" w:after="0"/>
      </w:pPr>
      <w:r>
        <w:rPr>
          <w:rFonts w:ascii="Arial" w:hAnsi="Arial"/>
          <w:b/>
          <w:i w:val="0"/>
          <w:color w:val="000000"/>
          <w:sz w:val="20"/>
        </w:rPr>
        <w:t>Tabla 2</w:t>
      </w:r>
    </w:p>
    <w:p>
      <w:pPr>
        <w:spacing w:after="160"/>
        <w:jc w:val="left"/>
      </w:pPr>
      <w:r>
        <w:rPr>
          <w:rFonts w:ascii="Arial" w:hAnsi="Arial"/>
          <w:b w:val="0"/>
          <w:i/>
          <w:color w:val="000000"/>
          <w:sz w:val="18"/>
        </w:rPr>
        <w:t>Árbol de categorías propuesto para Evolti</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rFonts w:ascii="Arial" w:hAnsi="Arial"/>
                <w:b/>
                <w:i w:val="0"/>
                <w:color w:val="000000"/>
                <w:sz w:val="19"/>
              </w:rPr>
              <w:t>Categoría principal</w:t>
            </w:r>
          </w:p>
        </w:tc>
        <w:tc>
          <w:tcPr>
            <w:tcW w:type="dxa" w:w="5904"/>
            <w:shd w:val="clear" w:color="auto" w:fill="D9D9D9"/>
          </w:tcPr>
          <w:p>
            <w:r/>
            <w:r>
              <w:rPr>
                <w:rFonts w:ascii="Arial" w:hAnsi="Arial"/>
                <w:b/>
                <w:i w:val="0"/>
                <w:color w:val="000000"/>
                <w:sz w:val="19"/>
              </w:rPr>
              <w:t>Subcategorías</w:t>
            </w:r>
          </w:p>
        </w:tc>
      </w:tr>
      <w:tr>
        <w:tc>
          <w:tcPr>
            <w:tcW w:type="dxa" w:w="2880"/>
          </w:tcPr>
          <w:p>
            <w:r/>
            <w:r>
              <w:rPr>
                <w:rFonts w:ascii="Arial" w:hAnsi="Arial"/>
                <w:b w:val="0"/>
                <w:i w:val="0"/>
                <w:color w:val="000000"/>
                <w:sz w:val="19"/>
              </w:rPr>
              <w:t>1. Componentes fotovoltaicos</w:t>
            </w:r>
          </w:p>
        </w:tc>
        <w:tc>
          <w:tcPr>
            <w:tcW w:type="dxa" w:w="5904"/>
          </w:tcPr>
          <w:p>
            <w:r/>
            <w:r>
              <w:rPr>
                <w:rFonts w:ascii="Arial" w:hAnsi="Arial"/>
                <w:b w:val="0"/>
                <w:i w:val="0"/>
                <w:color w:val="000000"/>
                <w:sz w:val="19"/>
              </w:rPr>
              <w:t>1.1 Módulos/paneles solares   |   1.2 Inversores y equipos de conversión</w:t>
            </w:r>
          </w:p>
        </w:tc>
      </w:tr>
      <w:tr>
        <w:tc>
          <w:tcPr>
            <w:tcW w:type="dxa" w:w="2880"/>
          </w:tcPr>
          <w:p>
            <w:r/>
            <w:r>
              <w:rPr>
                <w:rFonts w:ascii="Arial" w:hAnsi="Arial"/>
                <w:b w:val="0"/>
                <w:i w:val="0"/>
                <w:color w:val="000000"/>
                <w:sz w:val="19"/>
              </w:rPr>
              <w:t>2. Estructuras y montaje</w:t>
            </w:r>
          </w:p>
        </w:tc>
        <w:tc>
          <w:tcPr>
            <w:tcW w:type="dxa" w:w="5904"/>
          </w:tcPr>
          <w:p>
            <w:r/>
            <w:r>
              <w:rPr>
                <w:rFonts w:ascii="Arial" w:hAnsi="Arial"/>
                <w:b w:val="0"/>
                <w:i w:val="0"/>
                <w:color w:val="000000"/>
                <w:sz w:val="19"/>
              </w:rPr>
              <w:t>2.1 Estructura de soporte (fija/seguidores)   |   2.2 Anclajes y cimentación</w:t>
            </w:r>
          </w:p>
        </w:tc>
      </w:tr>
      <w:tr>
        <w:tc>
          <w:tcPr>
            <w:tcW w:type="dxa" w:w="2880"/>
          </w:tcPr>
          <w:p>
            <w:r/>
            <w:r>
              <w:rPr>
                <w:rFonts w:ascii="Arial" w:hAnsi="Arial"/>
                <w:b w:val="0"/>
                <w:i w:val="0"/>
                <w:color w:val="000000"/>
                <w:sz w:val="19"/>
              </w:rPr>
              <w:t>3. Materiales eléctricos (BOS)</w:t>
            </w:r>
          </w:p>
        </w:tc>
        <w:tc>
          <w:tcPr>
            <w:tcW w:type="dxa" w:w="5904"/>
          </w:tcPr>
          <w:p>
            <w:r/>
            <w:r>
              <w:rPr>
                <w:rFonts w:ascii="Arial" w:hAnsi="Arial"/>
                <w:b w:val="0"/>
                <w:i w:val="0"/>
                <w:color w:val="000000"/>
                <w:sz w:val="19"/>
              </w:rPr>
              <w:t>3.1 Cableado y conexiones   |   3.2 Tableros, transformadores y protecciones</w:t>
            </w:r>
          </w:p>
        </w:tc>
      </w:tr>
      <w:tr>
        <w:tc>
          <w:tcPr>
            <w:tcW w:type="dxa" w:w="2880"/>
          </w:tcPr>
          <w:p>
            <w:r/>
            <w:r>
              <w:rPr>
                <w:rFonts w:ascii="Arial" w:hAnsi="Arial"/>
                <w:b w:val="0"/>
                <w:i w:val="0"/>
                <w:color w:val="000000"/>
                <w:sz w:val="19"/>
              </w:rPr>
              <w:t>4. Obra civil y servicios</w:t>
            </w:r>
          </w:p>
        </w:tc>
        <w:tc>
          <w:tcPr>
            <w:tcW w:type="dxa" w:w="5904"/>
          </w:tcPr>
          <w:p>
            <w:r/>
            <w:r>
              <w:rPr>
                <w:rFonts w:ascii="Arial" w:hAnsi="Arial"/>
                <w:b w:val="0"/>
                <w:i w:val="0"/>
                <w:color w:val="000000"/>
                <w:sz w:val="19"/>
              </w:rPr>
              <w:t>4.1 Movimientos de tierra y obra civil   |   4.2 Transporte, maquinaria y servicios de ingeniería</w:t>
            </w:r>
          </w:p>
        </w:tc>
      </w:tr>
    </w:tbl>
    <w:p>
      <w:pPr>
        <w:spacing w:after="40"/>
      </w:pPr>
    </w:p>
    <w:p>
      <w:pPr>
        <w:spacing w:after="160"/>
        <w:jc w:val="left"/>
      </w:pPr>
      <w:r>
        <w:rPr>
          <w:rFonts w:ascii="Arial" w:hAnsi="Arial"/>
          <w:b w:val="0"/>
          <w:i/>
          <w:color w:val="000000"/>
          <w:sz w:val="18"/>
        </w:rPr>
        <w:t>Nota. Elaboración propia.</w:t>
      </w:r>
    </w:p>
    <w:p>
      <w:pPr>
        <w:jc w:val="both"/>
      </w:pPr>
      <w:r>
        <w:rPr>
          <w:rFonts w:ascii="Arial" w:hAnsi="Arial"/>
          <w:b w:val="0"/>
          <w:i w:val="0"/>
          <w:color w:val="000000"/>
          <w:sz w:val="22"/>
        </w:rPr>
        <w:t>Este árbol es la base para el cubo del gasto y para el análisis de Pareto que desarrollo enseguida. La idea, como dice el módulo, es que “no hay estrategia sin segmentación del gasto”.</w:t>
      </w:r>
    </w:p>
    <w:p>
      <w:pPr>
        <w:keepNext/>
        <w:spacing w:before="280" w:after="120"/>
        <w:jc w:val="center"/>
      </w:pPr>
      <w:r>
        <w:rPr>
          <w:rFonts w:ascii="Arial" w:hAnsi="Arial"/>
          <w:b/>
          <w:i w:val="0"/>
          <w:color w:val="000000"/>
          <w:sz w:val="24"/>
        </w:rPr>
        <w:t>4. Análisis del gasto (Spend Analysis)</w:t>
      </w:r>
    </w:p>
    <w:p>
      <w:pPr>
        <w:jc w:val="both"/>
      </w:pPr>
      <w:r>
        <w:rPr>
          <w:rFonts w:ascii="Arial" w:hAnsi="Arial"/>
          <w:b w:val="0"/>
          <w:i w:val="0"/>
          <w:color w:val="000000"/>
          <w:sz w:val="22"/>
        </w:rPr>
        <w:t>Para este análisis parto de un universo de gasto anual estimado de $40.000 millones COP en compras y contratación de proyectos (cifra de trabajo con fines académicos). Aplico los pasos del módulo: cubo del gasto, Pareto, identificación de categorías estratégicas y gasto impactado.</w:t>
      </w:r>
    </w:p>
    <w:p>
      <w:pPr>
        <w:keepNext/>
        <w:spacing w:before="160" w:after="60"/>
      </w:pPr>
      <w:r>
        <w:rPr>
          <w:rFonts w:ascii="Arial" w:hAnsi="Arial"/>
          <w:b/>
          <w:i w:val="0"/>
          <w:color w:val="000000"/>
          <w:sz w:val="22"/>
        </w:rPr>
        <w:t>Ejemplo de cubo del gasto</w:t>
      </w:r>
    </w:p>
    <w:p>
      <w:pPr>
        <w:jc w:val="both"/>
      </w:pPr>
      <w:r>
        <w:rPr>
          <w:rFonts w:ascii="Arial" w:hAnsi="Arial"/>
          <w:b w:val="0"/>
          <w:i w:val="0"/>
          <w:color w:val="000000"/>
          <w:sz w:val="22"/>
        </w:rPr>
        <w:t>El cubo del gasto permite cruzar varias dimensiones a la vez: qué se compra, a quién, quién lo consume, cómo se compra y cuándo. La Tabla 3 muestra un fragmento a modo de ejemplo.</w:t>
      </w:r>
    </w:p>
    <w:p>
      <w:pPr>
        <w:spacing w:before="120" w:after="0"/>
      </w:pPr>
      <w:r>
        <w:rPr>
          <w:rFonts w:ascii="Arial" w:hAnsi="Arial"/>
          <w:b/>
          <w:i w:val="0"/>
          <w:color w:val="000000"/>
          <w:sz w:val="20"/>
        </w:rPr>
        <w:t>Tabla 3</w:t>
      </w:r>
    </w:p>
    <w:p>
      <w:pPr>
        <w:spacing w:after="160"/>
        <w:jc w:val="left"/>
      </w:pPr>
      <w:r>
        <w:rPr>
          <w:rFonts w:ascii="Arial" w:hAnsi="Arial"/>
          <w:b w:val="0"/>
          <w:i/>
          <w:color w:val="000000"/>
          <w:sz w:val="18"/>
        </w:rPr>
        <w:t>Fragmento ilustrativo del cubo del gasto de Evolti (cinco dimensiones y valor)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color="auto" w:fill="D9D9D9"/>
          </w:tcPr>
          <w:p>
            <w:r/>
            <w:r>
              <w:rPr>
                <w:rFonts w:ascii="Arial" w:hAnsi="Arial"/>
                <w:b/>
                <w:i w:val="0"/>
                <w:color w:val="000000"/>
                <w:sz w:val="17"/>
              </w:rPr>
              <w:t>Categoría (árbol)</w:t>
            </w:r>
          </w:p>
        </w:tc>
        <w:tc>
          <w:tcPr>
            <w:tcW w:type="dxa" w:w="1728"/>
            <w:shd w:val="clear" w:color="auto" w:fill="D9D9D9"/>
          </w:tcPr>
          <w:p>
            <w:r/>
            <w:r>
              <w:rPr>
                <w:rFonts w:ascii="Arial" w:hAnsi="Arial"/>
                <w:b/>
                <w:i w:val="0"/>
                <w:color w:val="000000"/>
                <w:sz w:val="17"/>
              </w:rPr>
              <w:t>Proveedor</w:t>
            </w:r>
          </w:p>
        </w:tc>
        <w:tc>
          <w:tcPr>
            <w:tcW w:type="dxa" w:w="1728"/>
            <w:shd w:val="clear" w:color="auto" w:fill="D9D9D9"/>
          </w:tcPr>
          <w:p>
            <w:r/>
            <w:r>
              <w:rPr>
                <w:rFonts w:ascii="Arial" w:hAnsi="Arial"/>
                <w:b/>
                <w:i w:val="0"/>
                <w:color w:val="000000"/>
                <w:sz w:val="17"/>
              </w:rPr>
              <w:t>Proyecto/Centro</w:t>
            </w:r>
          </w:p>
        </w:tc>
        <w:tc>
          <w:tcPr>
            <w:tcW w:type="dxa" w:w="1872"/>
            <w:shd w:val="clear" w:color="auto" w:fill="D9D9D9"/>
          </w:tcPr>
          <w:p>
            <w:r/>
            <w:r>
              <w:rPr>
                <w:rFonts w:ascii="Arial" w:hAnsi="Arial"/>
                <w:b/>
                <w:i w:val="0"/>
                <w:color w:val="000000"/>
                <w:sz w:val="17"/>
              </w:rPr>
              <w:t>Modalidad</w:t>
            </w:r>
          </w:p>
        </w:tc>
        <w:tc>
          <w:tcPr>
            <w:tcW w:type="dxa" w:w="720"/>
            <w:shd w:val="clear" w:color="auto" w:fill="D9D9D9"/>
          </w:tcPr>
          <w:p>
            <w:r/>
            <w:r>
              <w:rPr>
                <w:rFonts w:ascii="Arial" w:hAnsi="Arial"/>
                <w:b/>
                <w:i w:val="0"/>
                <w:color w:val="000000"/>
                <w:sz w:val="17"/>
              </w:rPr>
              <w:t>Mes</w:t>
            </w:r>
          </w:p>
        </w:tc>
        <w:tc>
          <w:tcPr>
            <w:tcW w:type="dxa" w:w="1440"/>
            <w:shd w:val="clear" w:color="auto" w:fill="D9D9D9"/>
          </w:tcPr>
          <w:p>
            <w:r/>
            <w:r>
              <w:rPr>
                <w:rFonts w:ascii="Arial" w:hAnsi="Arial"/>
                <w:b/>
                <w:i w:val="0"/>
                <w:color w:val="000000"/>
                <w:sz w:val="17"/>
              </w:rPr>
              <w:t>Valor (MM COP)</w:t>
            </w:r>
          </w:p>
        </w:tc>
      </w:tr>
      <w:tr>
        <w:tc>
          <w:tcPr>
            <w:tcW w:type="dxa" w:w="2160"/>
          </w:tcPr>
          <w:p>
            <w:r/>
            <w:r>
              <w:rPr>
                <w:rFonts w:ascii="Arial" w:hAnsi="Arial"/>
                <w:b w:val="0"/>
                <w:i w:val="0"/>
                <w:color w:val="000000"/>
                <w:sz w:val="17"/>
              </w:rPr>
              <w:t>1.1 Paneles solares</w:t>
            </w:r>
          </w:p>
        </w:tc>
        <w:tc>
          <w:tcPr>
            <w:tcW w:type="dxa" w:w="1728"/>
          </w:tcPr>
          <w:p>
            <w:r/>
            <w:r>
              <w:rPr>
                <w:rFonts w:ascii="Arial" w:hAnsi="Arial"/>
                <w:b w:val="0"/>
                <w:i w:val="0"/>
                <w:color w:val="000000"/>
                <w:sz w:val="17"/>
              </w:rPr>
              <w:t>SolarPro Int.</w:t>
            </w:r>
          </w:p>
        </w:tc>
        <w:tc>
          <w:tcPr>
            <w:tcW w:type="dxa" w:w="1728"/>
          </w:tcPr>
          <w:p>
            <w:r/>
            <w:r>
              <w:rPr>
                <w:rFonts w:ascii="Arial" w:hAnsi="Arial"/>
                <w:b w:val="0"/>
                <w:i w:val="0"/>
                <w:color w:val="000000"/>
                <w:sz w:val="17"/>
              </w:rPr>
              <w:t>Granja Norte</w:t>
            </w:r>
          </w:p>
        </w:tc>
        <w:tc>
          <w:tcPr>
            <w:tcW w:type="dxa" w:w="1872"/>
          </w:tcPr>
          <w:p>
            <w:r/>
            <w:r>
              <w:rPr>
                <w:rFonts w:ascii="Arial" w:hAnsi="Arial"/>
                <w:b w:val="0"/>
                <w:i w:val="0"/>
                <w:color w:val="000000"/>
                <w:sz w:val="17"/>
              </w:rPr>
              <w:t>Contrato marco</w:t>
            </w:r>
          </w:p>
        </w:tc>
        <w:tc>
          <w:tcPr>
            <w:tcW w:type="dxa" w:w="720"/>
          </w:tcPr>
          <w:p>
            <w:r/>
            <w:r>
              <w:rPr>
                <w:rFonts w:ascii="Arial" w:hAnsi="Arial"/>
                <w:b w:val="0"/>
                <w:i w:val="0"/>
                <w:color w:val="000000"/>
                <w:sz w:val="17"/>
              </w:rPr>
              <w:t>Feb</w:t>
            </w:r>
          </w:p>
        </w:tc>
        <w:tc>
          <w:tcPr>
            <w:tcW w:type="dxa" w:w="1440"/>
          </w:tcPr>
          <w:p>
            <w:r/>
            <w:r>
              <w:rPr>
                <w:rFonts w:ascii="Arial" w:hAnsi="Arial"/>
                <w:b w:val="0"/>
                <w:i w:val="0"/>
                <w:color w:val="000000"/>
                <w:sz w:val="17"/>
              </w:rPr>
              <w:t>9.800</w:t>
            </w:r>
          </w:p>
        </w:tc>
      </w:tr>
      <w:tr>
        <w:tc>
          <w:tcPr>
            <w:tcW w:type="dxa" w:w="2160"/>
          </w:tcPr>
          <w:p>
            <w:r/>
            <w:r>
              <w:rPr>
                <w:rFonts w:ascii="Arial" w:hAnsi="Arial"/>
                <w:b w:val="0"/>
                <w:i w:val="0"/>
                <w:color w:val="000000"/>
                <w:sz w:val="17"/>
              </w:rPr>
              <w:t>1.2 Inversores</w:t>
            </w:r>
          </w:p>
        </w:tc>
        <w:tc>
          <w:tcPr>
            <w:tcW w:type="dxa" w:w="1728"/>
          </w:tcPr>
          <w:p>
            <w:r/>
            <w:r>
              <w:rPr>
                <w:rFonts w:ascii="Arial" w:hAnsi="Arial"/>
                <w:b w:val="0"/>
                <w:i w:val="0"/>
                <w:color w:val="000000"/>
                <w:sz w:val="17"/>
              </w:rPr>
              <w:t>PowerConv SAS</w:t>
            </w:r>
          </w:p>
        </w:tc>
        <w:tc>
          <w:tcPr>
            <w:tcW w:type="dxa" w:w="1728"/>
          </w:tcPr>
          <w:p>
            <w:r/>
            <w:r>
              <w:rPr>
                <w:rFonts w:ascii="Arial" w:hAnsi="Arial"/>
                <w:b w:val="0"/>
                <w:i w:val="0"/>
                <w:color w:val="000000"/>
                <w:sz w:val="17"/>
              </w:rPr>
              <w:t>Granja Norte</w:t>
            </w:r>
          </w:p>
        </w:tc>
        <w:tc>
          <w:tcPr>
            <w:tcW w:type="dxa" w:w="1872"/>
          </w:tcPr>
          <w:p>
            <w:r/>
            <w:r>
              <w:rPr>
                <w:rFonts w:ascii="Arial" w:hAnsi="Arial"/>
                <w:b w:val="0"/>
                <w:i w:val="0"/>
                <w:color w:val="000000"/>
                <w:sz w:val="17"/>
              </w:rPr>
              <w:t>Orden de compra</w:t>
            </w:r>
          </w:p>
        </w:tc>
        <w:tc>
          <w:tcPr>
            <w:tcW w:type="dxa" w:w="720"/>
          </w:tcPr>
          <w:p>
            <w:r/>
            <w:r>
              <w:rPr>
                <w:rFonts w:ascii="Arial" w:hAnsi="Arial"/>
                <w:b w:val="0"/>
                <w:i w:val="0"/>
                <w:color w:val="000000"/>
                <w:sz w:val="17"/>
              </w:rPr>
              <w:t>Mar</w:t>
            </w:r>
          </w:p>
        </w:tc>
        <w:tc>
          <w:tcPr>
            <w:tcW w:type="dxa" w:w="1440"/>
          </w:tcPr>
          <w:p>
            <w:r/>
            <w:r>
              <w:rPr>
                <w:rFonts w:ascii="Arial" w:hAnsi="Arial"/>
                <w:b w:val="0"/>
                <w:i w:val="0"/>
                <w:color w:val="000000"/>
                <w:sz w:val="17"/>
              </w:rPr>
              <w:t>4.200</w:t>
            </w:r>
          </w:p>
        </w:tc>
      </w:tr>
      <w:tr>
        <w:tc>
          <w:tcPr>
            <w:tcW w:type="dxa" w:w="2160"/>
          </w:tcPr>
          <w:p>
            <w:r/>
            <w:r>
              <w:rPr>
                <w:rFonts w:ascii="Arial" w:hAnsi="Arial"/>
                <w:b w:val="0"/>
                <w:i w:val="0"/>
                <w:color w:val="000000"/>
                <w:sz w:val="17"/>
              </w:rPr>
              <w:t>2.1 Estructura soporte</w:t>
            </w:r>
          </w:p>
        </w:tc>
        <w:tc>
          <w:tcPr>
            <w:tcW w:type="dxa" w:w="1728"/>
          </w:tcPr>
          <w:p>
            <w:r/>
            <w:r>
              <w:rPr>
                <w:rFonts w:ascii="Arial" w:hAnsi="Arial"/>
                <w:b w:val="0"/>
                <w:i w:val="0"/>
                <w:color w:val="000000"/>
                <w:sz w:val="17"/>
              </w:rPr>
              <w:t>MetalMonta</w:t>
            </w:r>
          </w:p>
        </w:tc>
        <w:tc>
          <w:tcPr>
            <w:tcW w:type="dxa" w:w="1728"/>
          </w:tcPr>
          <w:p>
            <w:r/>
            <w:r>
              <w:rPr>
                <w:rFonts w:ascii="Arial" w:hAnsi="Arial"/>
                <w:b w:val="0"/>
                <w:i w:val="0"/>
                <w:color w:val="000000"/>
                <w:sz w:val="17"/>
              </w:rPr>
              <w:t>Granja Sur</w:t>
            </w:r>
          </w:p>
        </w:tc>
        <w:tc>
          <w:tcPr>
            <w:tcW w:type="dxa" w:w="1872"/>
          </w:tcPr>
          <w:p>
            <w:r/>
            <w:r>
              <w:rPr>
                <w:rFonts w:ascii="Arial" w:hAnsi="Arial"/>
                <w:b w:val="0"/>
                <w:i w:val="0"/>
                <w:color w:val="000000"/>
                <w:sz w:val="17"/>
              </w:rPr>
              <w:t>Contrato</w:t>
            </w:r>
          </w:p>
        </w:tc>
        <w:tc>
          <w:tcPr>
            <w:tcW w:type="dxa" w:w="720"/>
          </w:tcPr>
          <w:p>
            <w:r/>
            <w:r>
              <w:rPr>
                <w:rFonts w:ascii="Arial" w:hAnsi="Arial"/>
                <w:b w:val="0"/>
                <w:i w:val="0"/>
                <w:color w:val="000000"/>
                <w:sz w:val="17"/>
              </w:rPr>
              <w:t>Abr</w:t>
            </w:r>
          </w:p>
        </w:tc>
        <w:tc>
          <w:tcPr>
            <w:tcW w:type="dxa" w:w="1440"/>
          </w:tcPr>
          <w:p>
            <w:r/>
            <w:r>
              <w:rPr>
                <w:rFonts w:ascii="Arial" w:hAnsi="Arial"/>
                <w:b w:val="0"/>
                <w:i w:val="0"/>
                <w:color w:val="000000"/>
                <w:sz w:val="17"/>
              </w:rPr>
              <w:t>3.500</w:t>
            </w:r>
          </w:p>
        </w:tc>
      </w:tr>
      <w:tr>
        <w:tc>
          <w:tcPr>
            <w:tcW w:type="dxa" w:w="2160"/>
          </w:tcPr>
          <w:p>
            <w:r/>
            <w:r>
              <w:rPr>
                <w:rFonts w:ascii="Arial" w:hAnsi="Arial"/>
                <w:b w:val="0"/>
                <w:i w:val="0"/>
                <w:color w:val="000000"/>
                <w:sz w:val="17"/>
              </w:rPr>
              <w:t>3.2 Transformadores</w:t>
            </w:r>
          </w:p>
        </w:tc>
        <w:tc>
          <w:tcPr>
            <w:tcW w:type="dxa" w:w="1728"/>
          </w:tcPr>
          <w:p>
            <w:r/>
            <w:r>
              <w:rPr>
                <w:rFonts w:ascii="Arial" w:hAnsi="Arial"/>
                <w:b w:val="0"/>
                <w:i w:val="0"/>
                <w:color w:val="000000"/>
                <w:sz w:val="17"/>
              </w:rPr>
              <w:t>ElectroAndina</w:t>
            </w:r>
          </w:p>
        </w:tc>
        <w:tc>
          <w:tcPr>
            <w:tcW w:type="dxa" w:w="1728"/>
          </w:tcPr>
          <w:p>
            <w:r/>
            <w:r>
              <w:rPr>
                <w:rFonts w:ascii="Arial" w:hAnsi="Arial"/>
                <w:b w:val="0"/>
                <w:i w:val="0"/>
                <w:color w:val="000000"/>
                <w:sz w:val="17"/>
              </w:rPr>
              <w:t>Granja Sur</w:t>
            </w:r>
          </w:p>
        </w:tc>
        <w:tc>
          <w:tcPr>
            <w:tcW w:type="dxa" w:w="1872"/>
          </w:tcPr>
          <w:p>
            <w:r/>
            <w:r>
              <w:rPr>
                <w:rFonts w:ascii="Arial" w:hAnsi="Arial"/>
                <w:b w:val="0"/>
                <w:i w:val="0"/>
                <w:color w:val="000000"/>
                <w:sz w:val="17"/>
              </w:rPr>
              <w:t>Orden de compra</w:t>
            </w:r>
          </w:p>
        </w:tc>
        <w:tc>
          <w:tcPr>
            <w:tcW w:type="dxa" w:w="720"/>
          </w:tcPr>
          <w:p>
            <w:r/>
            <w:r>
              <w:rPr>
                <w:rFonts w:ascii="Arial" w:hAnsi="Arial"/>
                <w:b w:val="0"/>
                <w:i w:val="0"/>
                <w:color w:val="000000"/>
                <w:sz w:val="17"/>
              </w:rPr>
              <w:t>May</w:t>
            </w:r>
          </w:p>
        </w:tc>
        <w:tc>
          <w:tcPr>
            <w:tcW w:type="dxa" w:w="1440"/>
          </w:tcPr>
          <w:p>
            <w:r/>
            <w:r>
              <w:rPr>
                <w:rFonts w:ascii="Arial" w:hAnsi="Arial"/>
                <w:b w:val="0"/>
                <w:i w:val="0"/>
                <w:color w:val="000000"/>
                <w:sz w:val="17"/>
              </w:rPr>
              <w:t>2.100</w:t>
            </w:r>
          </w:p>
        </w:tc>
      </w:tr>
      <w:tr>
        <w:tc>
          <w:tcPr>
            <w:tcW w:type="dxa" w:w="2160"/>
          </w:tcPr>
          <w:p>
            <w:r/>
            <w:r>
              <w:rPr>
                <w:rFonts w:ascii="Arial" w:hAnsi="Arial"/>
                <w:b w:val="0"/>
                <w:i w:val="0"/>
                <w:color w:val="000000"/>
                <w:sz w:val="17"/>
              </w:rPr>
              <w:t>4.1 Obra civil</w:t>
            </w:r>
          </w:p>
        </w:tc>
        <w:tc>
          <w:tcPr>
            <w:tcW w:type="dxa" w:w="1728"/>
          </w:tcPr>
          <w:p>
            <w:r/>
            <w:r>
              <w:rPr>
                <w:rFonts w:ascii="Arial" w:hAnsi="Arial"/>
                <w:b w:val="0"/>
                <w:i w:val="0"/>
                <w:color w:val="000000"/>
                <w:sz w:val="17"/>
              </w:rPr>
              <w:t>Construcaribe</w:t>
            </w:r>
          </w:p>
        </w:tc>
        <w:tc>
          <w:tcPr>
            <w:tcW w:type="dxa" w:w="1728"/>
          </w:tcPr>
          <w:p>
            <w:r/>
            <w:r>
              <w:rPr>
                <w:rFonts w:ascii="Arial" w:hAnsi="Arial"/>
                <w:b w:val="0"/>
                <w:i w:val="0"/>
                <w:color w:val="000000"/>
                <w:sz w:val="17"/>
              </w:rPr>
              <w:t>Granja Norte</w:t>
            </w:r>
          </w:p>
        </w:tc>
        <w:tc>
          <w:tcPr>
            <w:tcW w:type="dxa" w:w="1872"/>
          </w:tcPr>
          <w:p>
            <w:r/>
            <w:r>
              <w:rPr>
                <w:rFonts w:ascii="Arial" w:hAnsi="Arial"/>
                <w:b w:val="0"/>
                <w:i w:val="0"/>
                <w:color w:val="000000"/>
                <w:sz w:val="17"/>
              </w:rPr>
              <w:t>Subcontrato</w:t>
            </w:r>
          </w:p>
        </w:tc>
        <w:tc>
          <w:tcPr>
            <w:tcW w:type="dxa" w:w="720"/>
          </w:tcPr>
          <w:p>
            <w:r/>
            <w:r>
              <w:rPr>
                <w:rFonts w:ascii="Arial" w:hAnsi="Arial"/>
                <w:b w:val="0"/>
                <w:i w:val="0"/>
                <w:color w:val="000000"/>
                <w:sz w:val="17"/>
              </w:rPr>
              <w:t>Jun</w:t>
            </w:r>
          </w:p>
        </w:tc>
        <w:tc>
          <w:tcPr>
            <w:tcW w:type="dxa" w:w="1440"/>
          </w:tcPr>
          <w:p>
            <w:r/>
            <w:r>
              <w:rPr>
                <w:rFonts w:ascii="Arial" w:hAnsi="Arial"/>
                <w:b w:val="0"/>
                <w:i w:val="0"/>
                <w:color w:val="000000"/>
                <w:sz w:val="17"/>
              </w:rPr>
              <w:t>3.000</w:t>
            </w:r>
          </w:p>
        </w:tc>
      </w:tr>
    </w:tbl>
    <w:p>
      <w:pPr>
        <w:spacing w:after="40"/>
      </w:pPr>
    </w:p>
    <w:p>
      <w:pPr>
        <w:spacing w:after="160"/>
        <w:jc w:val="left"/>
      </w:pPr>
      <w:r>
        <w:rPr>
          <w:rFonts w:ascii="Arial" w:hAnsi="Arial"/>
          <w:b w:val="0"/>
          <w:i/>
          <w:color w:val="000000"/>
          <w:sz w:val="18"/>
        </w:rPr>
        <w:t>Nota. Datos ilustrativos con fines académicos.</w:t>
      </w:r>
    </w:p>
    <w:p>
      <w:pPr>
        <w:keepNext/>
        <w:spacing w:before="160" w:after="60"/>
      </w:pPr>
      <w:r>
        <w:rPr>
          <w:rFonts w:ascii="Arial" w:hAnsi="Arial"/>
          <w:b/>
          <w:i w:val="0"/>
          <w:color w:val="000000"/>
          <w:sz w:val="22"/>
        </w:rPr>
        <w:t>Análisis Pareto (80/20)</w:t>
      </w:r>
    </w:p>
    <w:p>
      <w:pPr>
        <w:jc w:val="both"/>
      </w:pPr>
      <w:r>
        <w:rPr>
          <w:rFonts w:ascii="Arial" w:hAnsi="Arial"/>
          <w:b w:val="0"/>
          <w:i w:val="0"/>
          <w:color w:val="000000"/>
          <w:sz w:val="22"/>
        </w:rPr>
        <w:t>Al agrupar el gasto por categoría y ordenarlo de mayor a menor, aplico el principio de Pareto para identificar las pocas categorías que concentran la mayor parte del gasto (ver Tabla 4).</w:t>
      </w:r>
    </w:p>
    <w:p>
      <w:pPr>
        <w:spacing w:before="120" w:after="0"/>
      </w:pPr>
      <w:r>
        <w:rPr>
          <w:rFonts w:ascii="Arial" w:hAnsi="Arial"/>
          <w:b/>
          <w:i w:val="0"/>
          <w:color w:val="000000"/>
          <w:sz w:val="20"/>
        </w:rPr>
        <w:t>Tabla 4</w:t>
      </w:r>
    </w:p>
    <w:p>
      <w:pPr>
        <w:spacing w:after="160"/>
        <w:jc w:val="left"/>
      </w:pPr>
      <w:r>
        <w:rPr>
          <w:rFonts w:ascii="Arial" w:hAnsi="Arial"/>
          <w:b w:val="0"/>
          <w:i/>
          <w:color w:val="000000"/>
          <w:sz w:val="18"/>
        </w:rPr>
        <w:t>Análisis de Pareto del gasto anual estimado de Evolti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color="auto" w:fill="D9D9D9"/>
          </w:tcPr>
          <w:p>
            <w:r/>
            <w:r>
              <w:rPr>
                <w:rFonts w:ascii="Arial" w:hAnsi="Arial"/>
                <w:b/>
                <w:i w:val="0"/>
                <w:color w:val="000000"/>
                <w:sz w:val="18"/>
              </w:rPr>
              <w:t>Categoría</w:t>
            </w:r>
          </w:p>
        </w:tc>
        <w:tc>
          <w:tcPr>
            <w:tcW w:type="dxa" w:w="1872"/>
            <w:shd w:val="clear" w:color="auto" w:fill="D9D9D9"/>
          </w:tcPr>
          <w:p>
            <w:r/>
            <w:r>
              <w:rPr>
                <w:rFonts w:ascii="Arial" w:hAnsi="Arial"/>
                <w:b/>
                <w:i w:val="0"/>
                <w:color w:val="000000"/>
                <w:sz w:val="18"/>
              </w:rPr>
              <w:t>Gasto (MM COP)</w:t>
            </w:r>
          </w:p>
        </w:tc>
        <w:tc>
          <w:tcPr>
            <w:tcW w:type="dxa" w:w="1440"/>
            <w:shd w:val="clear" w:color="auto" w:fill="D9D9D9"/>
          </w:tcPr>
          <w:p>
            <w:r/>
            <w:r>
              <w:rPr>
                <w:rFonts w:ascii="Arial" w:hAnsi="Arial"/>
                <w:b/>
                <w:i w:val="0"/>
                <w:color w:val="000000"/>
                <w:sz w:val="18"/>
              </w:rPr>
              <w:t>% del total</w:t>
            </w:r>
          </w:p>
        </w:tc>
        <w:tc>
          <w:tcPr>
            <w:tcW w:type="dxa" w:w="1584"/>
            <w:shd w:val="clear" w:color="auto" w:fill="D9D9D9"/>
          </w:tcPr>
          <w:p>
            <w:r/>
            <w:r>
              <w:rPr>
                <w:rFonts w:ascii="Arial" w:hAnsi="Arial"/>
                <w:b/>
                <w:i w:val="0"/>
                <w:color w:val="000000"/>
                <w:sz w:val="18"/>
              </w:rPr>
              <w:t>% acumulado</w:t>
            </w:r>
          </w:p>
        </w:tc>
      </w:tr>
      <w:tr>
        <w:tc>
          <w:tcPr>
            <w:tcW w:type="dxa" w:w="3456"/>
          </w:tcPr>
          <w:p>
            <w:r/>
            <w:r>
              <w:rPr>
                <w:rFonts w:ascii="Arial" w:hAnsi="Arial"/>
                <w:b w:val="0"/>
                <w:i w:val="0"/>
                <w:color w:val="000000"/>
                <w:sz w:val="18"/>
              </w:rPr>
              <w:t>1. Componentes fotovoltaicos</w:t>
            </w:r>
          </w:p>
        </w:tc>
        <w:tc>
          <w:tcPr>
            <w:tcW w:type="dxa" w:w="1872"/>
          </w:tcPr>
          <w:p>
            <w:r/>
            <w:r>
              <w:rPr>
                <w:rFonts w:ascii="Arial" w:hAnsi="Arial"/>
                <w:b w:val="0"/>
                <w:i w:val="0"/>
                <w:color w:val="000000"/>
                <w:sz w:val="18"/>
              </w:rPr>
              <w:t>18.000</w:t>
            </w:r>
          </w:p>
        </w:tc>
        <w:tc>
          <w:tcPr>
            <w:tcW w:type="dxa" w:w="1440"/>
          </w:tcPr>
          <w:p>
            <w:r/>
            <w:r>
              <w:rPr>
                <w:rFonts w:ascii="Arial" w:hAnsi="Arial"/>
                <w:b w:val="0"/>
                <w:i w:val="0"/>
                <w:color w:val="000000"/>
                <w:sz w:val="18"/>
              </w:rPr>
              <w:t>45 %</w:t>
            </w:r>
          </w:p>
        </w:tc>
        <w:tc>
          <w:tcPr>
            <w:tcW w:type="dxa" w:w="1584"/>
          </w:tcPr>
          <w:p>
            <w:r/>
            <w:r>
              <w:rPr>
                <w:rFonts w:ascii="Arial" w:hAnsi="Arial"/>
                <w:b w:val="0"/>
                <w:i w:val="0"/>
                <w:color w:val="000000"/>
                <w:sz w:val="18"/>
              </w:rPr>
              <w:t>45 %</w:t>
            </w:r>
          </w:p>
        </w:tc>
      </w:tr>
      <w:tr>
        <w:tc>
          <w:tcPr>
            <w:tcW w:type="dxa" w:w="3456"/>
          </w:tcPr>
          <w:p>
            <w:r/>
            <w:r>
              <w:rPr>
                <w:rFonts w:ascii="Arial" w:hAnsi="Arial"/>
                <w:b w:val="0"/>
                <w:i w:val="0"/>
                <w:color w:val="000000"/>
                <w:sz w:val="18"/>
              </w:rPr>
              <w:t>2. Estructuras y montaje</w:t>
            </w:r>
          </w:p>
        </w:tc>
        <w:tc>
          <w:tcPr>
            <w:tcW w:type="dxa" w:w="1872"/>
          </w:tcPr>
          <w:p>
            <w:r/>
            <w:r>
              <w:rPr>
                <w:rFonts w:ascii="Arial" w:hAnsi="Arial"/>
                <w:b w:val="0"/>
                <w:i w:val="0"/>
                <w:color w:val="000000"/>
                <w:sz w:val="18"/>
              </w:rPr>
              <w:t>8.000</w:t>
            </w:r>
          </w:p>
        </w:tc>
        <w:tc>
          <w:tcPr>
            <w:tcW w:type="dxa" w:w="1440"/>
          </w:tcPr>
          <w:p>
            <w:r/>
            <w:r>
              <w:rPr>
                <w:rFonts w:ascii="Arial" w:hAnsi="Arial"/>
                <w:b w:val="0"/>
                <w:i w:val="0"/>
                <w:color w:val="000000"/>
                <w:sz w:val="18"/>
              </w:rPr>
              <w:t>20 %</w:t>
            </w:r>
          </w:p>
        </w:tc>
        <w:tc>
          <w:tcPr>
            <w:tcW w:type="dxa" w:w="1584"/>
          </w:tcPr>
          <w:p>
            <w:r/>
            <w:r>
              <w:rPr>
                <w:rFonts w:ascii="Arial" w:hAnsi="Arial"/>
                <w:b w:val="0"/>
                <w:i w:val="0"/>
                <w:color w:val="000000"/>
                <w:sz w:val="18"/>
              </w:rPr>
              <w:t>65 %</w:t>
            </w:r>
          </w:p>
        </w:tc>
      </w:tr>
      <w:tr>
        <w:tc>
          <w:tcPr>
            <w:tcW w:type="dxa" w:w="3456"/>
          </w:tcPr>
          <w:p>
            <w:r/>
            <w:r>
              <w:rPr>
                <w:rFonts w:ascii="Arial" w:hAnsi="Arial"/>
                <w:b w:val="0"/>
                <w:i w:val="0"/>
                <w:color w:val="000000"/>
                <w:sz w:val="18"/>
              </w:rPr>
              <w:t>3. Materiales eléctricos (BOS)</w:t>
            </w:r>
          </w:p>
        </w:tc>
        <w:tc>
          <w:tcPr>
            <w:tcW w:type="dxa" w:w="1872"/>
          </w:tcPr>
          <w:p>
            <w:r/>
            <w:r>
              <w:rPr>
                <w:rFonts w:ascii="Arial" w:hAnsi="Arial"/>
                <w:b w:val="0"/>
                <w:i w:val="0"/>
                <w:color w:val="000000"/>
                <w:sz w:val="18"/>
              </w:rPr>
              <w:t>6.000</w:t>
            </w:r>
          </w:p>
        </w:tc>
        <w:tc>
          <w:tcPr>
            <w:tcW w:type="dxa" w:w="1440"/>
          </w:tcPr>
          <w:p>
            <w:r/>
            <w:r>
              <w:rPr>
                <w:rFonts w:ascii="Arial" w:hAnsi="Arial"/>
                <w:b w:val="0"/>
                <w:i w:val="0"/>
                <w:color w:val="000000"/>
                <w:sz w:val="18"/>
              </w:rPr>
              <w:t>15 %</w:t>
            </w:r>
          </w:p>
        </w:tc>
        <w:tc>
          <w:tcPr>
            <w:tcW w:type="dxa" w:w="1584"/>
          </w:tcPr>
          <w:p>
            <w:r/>
            <w:r>
              <w:rPr>
                <w:rFonts w:ascii="Arial" w:hAnsi="Arial"/>
                <w:b w:val="0"/>
                <w:i w:val="0"/>
                <w:color w:val="000000"/>
                <w:sz w:val="18"/>
              </w:rPr>
              <w:t>80 %</w:t>
            </w:r>
          </w:p>
        </w:tc>
      </w:tr>
      <w:tr>
        <w:tc>
          <w:tcPr>
            <w:tcW w:type="dxa" w:w="3456"/>
          </w:tcPr>
          <w:p>
            <w:r/>
            <w:r>
              <w:rPr>
                <w:rFonts w:ascii="Arial" w:hAnsi="Arial"/>
                <w:b w:val="0"/>
                <w:i w:val="0"/>
                <w:color w:val="000000"/>
                <w:sz w:val="18"/>
              </w:rPr>
              <w:t>4. Obra civil y servicios</w:t>
            </w:r>
          </w:p>
        </w:tc>
        <w:tc>
          <w:tcPr>
            <w:tcW w:type="dxa" w:w="1872"/>
          </w:tcPr>
          <w:p>
            <w:r/>
            <w:r>
              <w:rPr>
                <w:rFonts w:ascii="Arial" w:hAnsi="Arial"/>
                <w:b w:val="0"/>
                <w:i w:val="0"/>
                <w:color w:val="000000"/>
                <w:sz w:val="18"/>
              </w:rPr>
              <w:t>5.200</w:t>
            </w:r>
          </w:p>
        </w:tc>
        <w:tc>
          <w:tcPr>
            <w:tcW w:type="dxa" w:w="1440"/>
          </w:tcPr>
          <w:p>
            <w:r/>
            <w:r>
              <w:rPr>
                <w:rFonts w:ascii="Arial" w:hAnsi="Arial"/>
                <w:b w:val="0"/>
                <w:i w:val="0"/>
                <w:color w:val="000000"/>
                <w:sz w:val="18"/>
              </w:rPr>
              <w:t>13 %</w:t>
            </w:r>
          </w:p>
        </w:tc>
        <w:tc>
          <w:tcPr>
            <w:tcW w:type="dxa" w:w="1584"/>
          </w:tcPr>
          <w:p>
            <w:r/>
            <w:r>
              <w:rPr>
                <w:rFonts w:ascii="Arial" w:hAnsi="Arial"/>
                <w:b w:val="0"/>
                <w:i w:val="0"/>
                <w:color w:val="000000"/>
                <w:sz w:val="18"/>
              </w:rPr>
              <w:t>93 %</w:t>
            </w:r>
          </w:p>
        </w:tc>
      </w:tr>
      <w:tr>
        <w:tc>
          <w:tcPr>
            <w:tcW w:type="dxa" w:w="3456"/>
          </w:tcPr>
          <w:p>
            <w:r/>
            <w:r>
              <w:rPr>
                <w:rFonts w:ascii="Arial" w:hAnsi="Arial"/>
                <w:b w:val="0"/>
                <w:i w:val="0"/>
                <w:color w:val="000000"/>
                <w:sz w:val="18"/>
              </w:rPr>
              <w:t>Otras compras menores</w:t>
            </w:r>
          </w:p>
        </w:tc>
        <w:tc>
          <w:tcPr>
            <w:tcW w:type="dxa" w:w="1872"/>
          </w:tcPr>
          <w:p>
            <w:r/>
            <w:r>
              <w:rPr>
                <w:rFonts w:ascii="Arial" w:hAnsi="Arial"/>
                <w:b w:val="0"/>
                <w:i w:val="0"/>
                <w:color w:val="000000"/>
                <w:sz w:val="18"/>
              </w:rPr>
              <w:t>2.800</w:t>
            </w:r>
          </w:p>
        </w:tc>
        <w:tc>
          <w:tcPr>
            <w:tcW w:type="dxa" w:w="1440"/>
          </w:tcPr>
          <w:p>
            <w:r/>
            <w:r>
              <w:rPr>
                <w:rFonts w:ascii="Arial" w:hAnsi="Arial"/>
                <w:b w:val="0"/>
                <w:i w:val="0"/>
                <w:color w:val="000000"/>
                <w:sz w:val="18"/>
              </w:rPr>
              <w:t>7 %</w:t>
            </w:r>
          </w:p>
        </w:tc>
        <w:tc>
          <w:tcPr>
            <w:tcW w:type="dxa" w:w="1584"/>
          </w:tcPr>
          <w:p>
            <w:r/>
            <w:r>
              <w:rPr>
                <w:rFonts w:ascii="Arial" w:hAnsi="Arial"/>
                <w:b w:val="0"/>
                <w:i w:val="0"/>
                <w:color w:val="000000"/>
                <w:sz w:val="18"/>
              </w:rPr>
              <w:t>100 %</w:t>
            </w:r>
          </w:p>
        </w:tc>
      </w:tr>
      <w:tr>
        <w:tc>
          <w:tcPr>
            <w:tcW w:type="dxa" w:w="3456"/>
          </w:tcPr>
          <w:p>
            <w:r/>
            <w:r>
              <w:rPr>
                <w:rFonts w:ascii="Arial" w:hAnsi="Arial"/>
                <w:b w:val="0"/>
                <w:i w:val="0"/>
                <w:color w:val="000000"/>
                <w:sz w:val="18"/>
              </w:rPr>
              <w:t>Total</w:t>
            </w:r>
          </w:p>
        </w:tc>
        <w:tc>
          <w:tcPr>
            <w:tcW w:type="dxa" w:w="1872"/>
          </w:tcPr>
          <w:p>
            <w:r/>
            <w:r>
              <w:rPr>
                <w:rFonts w:ascii="Arial" w:hAnsi="Arial"/>
                <w:b w:val="0"/>
                <w:i w:val="0"/>
                <w:color w:val="000000"/>
                <w:sz w:val="18"/>
              </w:rPr>
              <w:t>40.000</w:t>
            </w:r>
          </w:p>
        </w:tc>
        <w:tc>
          <w:tcPr>
            <w:tcW w:type="dxa" w:w="1440"/>
          </w:tcPr>
          <w:p>
            <w:r/>
            <w:r>
              <w:rPr>
                <w:rFonts w:ascii="Arial" w:hAnsi="Arial"/>
                <w:b w:val="0"/>
                <w:i w:val="0"/>
                <w:color w:val="000000"/>
                <w:sz w:val="18"/>
              </w:rPr>
              <w:t>100 %</w:t>
            </w:r>
          </w:p>
        </w:tc>
        <w:tc>
          <w:tcPr>
            <w:tcW w:type="dxa" w:w="1584"/>
          </w:tcPr>
          <w:p>
            <w:r/>
            <w:r>
              <w:rPr>
                <w:rFonts w:ascii="Arial" w:hAnsi="Arial"/>
                <w:b w:val="0"/>
                <w:i w:val="0"/>
                <w:color w:val="000000"/>
                <w:sz w:val="18"/>
              </w:rPr>
            </w:r>
          </w:p>
        </w:tc>
      </w:tr>
    </w:tbl>
    <w:p>
      <w:pPr>
        <w:spacing w:after="40"/>
      </w:pPr>
    </w:p>
    <w:p>
      <w:pPr>
        <w:spacing w:after="160"/>
        <w:jc w:val="left"/>
      </w:pPr>
      <w:r>
        <w:rPr>
          <w:rFonts w:ascii="Arial" w:hAnsi="Arial"/>
          <w:b w:val="0"/>
          <w:i/>
          <w:color w:val="000000"/>
          <w:sz w:val="18"/>
        </w:rPr>
        <w:t>Nota. Datos ilustrativos con fines académicos.</w:t>
      </w:r>
    </w:p>
    <w:p>
      <w:pPr>
        <w:jc w:val="both"/>
      </w:pPr>
      <w:r>
        <w:rPr>
          <w:rFonts w:ascii="Arial" w:hAnsi="Arial"/>
          <w:b w:val="0"/>
          <w:i w:val="0"/>
          <w:color w:val="000000"/>
          <w:sz w:val="22"/>
        </w:rPr>
        <w:t>Hallazgo Pareto: las dos primeras categorías (componentes fotovoltaicos y estructuras) concentran el 65 % del gasto, y las tres primeras llegan al 80 %. Esto indica que el foco estratégico inicial debe ir a esas categorías, porque es donde una mejora en la compra genera el mayor impacto, y porque el equipo de compras tiene capacidad limitada y no puede atacar todo al mismo tiempo.</w:t>
      </w:r>
    </w:p>
    <w:p>
      <w:pPr>
        <w:keepNext/>
        <w:spacing w:before="160" w:after="60"/>
      </w:pPr>
      <w:r>
        <w:rPr>
          <w:rFonts w:ascii="Arial" w:hAnsi="Arial"/>
          <w:b/>
          <w:i w:val="0"/>
          <w:color w:val="000000"/>
          <w:sz w:val="22"/>
        </w:rPr>
        <w:t>Identificación de categorías estratégicas</w:t>
      </w:r>
    </w:p>
    <w:p>
      <w:pPr>
        <w:jc w:val="both"/>
      </w:pPr>
      <w:r>
        <w:rPr>
          <w:rFonts w:ascii="Arial" w:hAnsi="Arial"/>
          <w:b w:val="0"/>
          <w:i w:val="0"/>
          <w:color w:val="000000"/>
          <w:sz w:val="22"/>
        </w:rPr>
        <w:t>Con base en el Pareto, considero estratégicas a las categorías 1 (componentes fotovoltaicos) y 2 (estructuras y montaje): son las de mayor gasto y, además, las de mayor riesgo de suministro, porque dependen de proveedores internacionales y su retraso frena toda la obra. La categoría 3 (eléctricos) es importante por su peso, pero tiene más proveedores disponibles en el mercado.</w:t>
      </w:r>
    </w:p>
    <w:p>
      <w:pPr>
        <w:keepNext/>
        <w:spacing w:before="160" w:after="60"/>
      </w:pPr>
      <w:r>
        <w:rPr>
          <w:rFonts w:ascii="Arial" w:hAnsi="Arial"/>
          <w:b/>
          <w:i w:val="0"/>
          <w:color w:val="000000"/>
          <w:sz w:val="22"/>
        </w:rPr>
        <w:t>Identificación de gasto impactado</w:t>
      </w:r>
    </w:p>
    <w:p>
      <w:pPr>
        <w:jc w:val="both"/>
      </w:pPr>
      <w:r>
        <w:rPr>
          <w:rFonts w:ascii="Arial" w:hAnsi="Arial"/>
          <w:b w:val="0"/>
          <w:i w:val="0"/>
          <w:color w:val="000000"/>
          <w:sz w:val="22"/>
        </w:rPr>
        <w:t>Un aprendizaje clave del módulo es no prometer ahorros sobre todo el gasto de una categoría, sino solo sobre el “gasto impactado”, que es la parte que una iniciativa realmente puede intervenir. Lo aplico a los inversores (subcategoría 1.2):</w:t>
      </w:r>
    </w:p>
    <w:p>
      <w:pPr>
        <w:pStyle w:val="ListBullet"/>
        <w:jc w:val="both"/>
      </w:pPr>
      <w:r>
        <w:rPr>
          <w:rFonts w:ascii="Arial" w:hAnsi="Arial"/>
          <w:b w:val="0"/>
          <w:i w:val="0"/>
          <w:color w:val="000000"/>
          <w:sz w:val="22"/>
        </w:rPr>
        <w:t>Gasto total de la categoría 1 (fotovoltaicos): $18.000 MM.</w:t>
      </w:r>
    </w:p>
    <w:p>
      <w:pPr>
        <w:pStyle w:val="ListBullet"/>
        <w:jc w:val="both"/>
      </w:pPr>
      <w:r>
        <w:rPr>
          <w:rFonts w:ascii="Arial" w:hAnsi="Arial"/>
          <w:b w:val="0"/>
          <w:i w:val="0"/>
          <w:color w:val="000000"/>
          <w:sz w:val="22"/>
        </w:rPr>
        <w:t>Gasto de la subcategoría 1.2 (inversores) donde hay palanca real de negociación: $4.200 MM.</w:t>
      </w:r>
    </w:p>
    <w:p>
      <w:pPr>
        <w:pStyle w:val="ListBullet"/>
        <w:jc w:val="both"/>
      </w:pPr>
      <w:r>
        <w:rPr>
          <w:rFonts w:ascii="Arial" w:hAnsi="Arial"/>
          <w:b w:val="0"/>
          <w:i w:val="0"/>
          <w:color w:val="000000"/>
          <w:sz w:val="22"/>
        </w:rPr>
        <w:t>Meta de ahorro realista mediante contrato marco y estandarización: 8 %.</w:t>
      </w:r>
    </w:p>
    <w:p>
      <w:pPr>
        <w:pStyle w:val="ListBullet"/>
        <w:jc w:val="both"/>
      </w:pPr>
      <w:r>
        <w:rPr>
          <w:rFonts w:ascii="Arial" w:hAnsi="Arial"/>
          <w:b w:val="0"/>
          <w:i w:val="0"/>
          <w:color w:val="000000"/>
          <w:sz w:val="22"/>
        </w:rPr>
        <w:t>Ahorro esperado = $336 MM/año. Gasto objetivo = 4.200 − 336 = $3.864 MM.</w:t>
      </w:r>
    </w:p>
    <w:p>
      <w:pPr>
        <w:jc w:val="both"/>
      </w:pPr>
      <w:r>
        <w:rPr>
          <w:rFonts w:ascii="Arial" w:hAnsi="Arial"/>
          <w:b w:val="0"/>
          <w:i w:val="0"/>
          <w:color w:val="000000"/>
          <w:sz w:val="22"/>
        </w:rPr>
        <w:t>De esta forma el ahorro se calcula sobre lo que de verdad se puede “tocar”, lo que hace la propuesta más creíble y defendible ante la gerencia.</w:t>
      </w:r>
    </w:p>
    <w:p>
      <w:pPr>
        <w:keepNext/>
        <w:spacing w:before="280" w:after="120"/>
        <w:jc w:val="center"/>
      </w:pPr>
      <w:r>
        <w:rPr>
          <w:rFonts w:ascii="Arial" w:hAnsi="Arial"/>
          <w:b/>
          <w:i w:val="0"/>
          <w:color w:val="000000"/>
          <w:sz w:val="24"/>
        </w:rPr>
        <w:t>5. Aplicación estratégica: Matriz de Kraljic</w:t>
      </w:r>
    </w:p>
    <w:p>
      <w:pPr>
        <w:jc w:val="both"/>
      </w:pPr>
      <w:r>
        <w:rPr>
          <w:rFonts w:ascii="Arial" w:hAnsi="Arial"/>
          <w:b w:val="0"/>
          <w:i w:val="0"/>
          <w:color w:val="000000"/>
          <w:sz w:val="22"/>
        </w:rPr>
        <w:t>La Matriz de Kraljic (Kraljic, 1983), mencionada en el módulo como un hito de la evolución del procurement, clasifica las categorías según dos ejes: el impacto en el resultado (peso en el gasto y en el negocio) y el riesgo de suministro (qué tan difícil o riesgoso es conseguir el producto). De ese cruce salen cuatro tipos de compras con estrategias diferentes. Ubiqué las categorías de Evolti como se muestra en la Tabla 5.</w:t>
      </w:r>
    </w:p>
    <w:p>
      <w:pPr>
        <w:spacing w:before="120" w:after="0"/>
      </w:pPr>
      <w:r>
        <w:rPr>
          <w:rFonts w:ascii="Arial" w:hAnsi="Arial"/>
          <w:b/>
          <w:i w:val="0"/>
          <w:color w:val="000000"/>
          <w:sz w:val="20"/>
        </w:rPr>
        <w:t>Tabla 5</w:t>
      </w:r>
    </w:p>
    <w:p>
      <w:pPr>
        <w:spacing w:after="160"/>
        <w:jc w:val="left"/>
      </w:pPr>
      <w:r>
        <w:rPr>
          <w:rFonts w:ascii="Arial" w:hAnsi="Arial"/>
          <w:b w:val="0"/>
          <w:i/>
          <w:color w:val="000000"/>
          <w:sz w:val="18"/>
        </w:rPr>
        <w:t>Aplicación de la Matriz de Kraljic a las categorías de Evolti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D9D9D9"/>
          </w:tcPr>
          <w:p>
            <w:r/>
            <w:r>
              <w:rPr>
                <w:rFonts w:ascii="Arial" w:hAnsi="Arial"/>
                <w:b/>
                <w:i w:val="0"/>
                <w:color w:val="000000"/>
                <w:sz w:val="17"/>
              </w:rPr>
              <w:t>Cuadrante</w:t>
            </w:r>
          </w:p>
        </w:tc>
        <w:tc>
          <w:tcPr>
            <w:tcW w:type="dxa" w:w="1872"/>
            <w:shd w:val="clear" w:color="auto" w:fill="D9D9D9"/>
          </w:tcPr>
          <w:p>
            <w:r/>
            <w:r>
              <w:rPr>
                <w:rFonts w:ascii="Arial" w:hAnsi="Arial"/>
                <w:b/>
                <w:i w:val="0"/>
                <w:color w:val="000000"/>
                <w:sz w:val="17"/>
              </w:rPr>
              <w:t>Impacto / Riesgo</w:t>
            </w:r>
          </w:p>
        </w:tc>
        <w:tc>
          <w:tcPr>
            <w:tcW w:type="dxa" w:w="2160"/>
            <w:shd w:val="clear" w:color="auto" w:fill="D9D9D9"/>
          </w:tcPr>
          <w:p>
            <w:r/>
            <w:r>
              <w:rPr>
                <w:rFonts w:ascii="Arial" w:hAnsi="Arial"/>
                <w:b/>
                <w:i w:val="0"/>
                <w:color w:val="000000"/>
                <w:sz w:val="17"/>
              </w:rPr>
              <w:t>Categorías de Evolti</w:t>
            </w:r>
          </w:p>
        </w:tc>
        <w:tc>
          <w:tcPr>
            <w:tcW w:type="dxa" w:w="3168"/>
            <w:shd w:val="clear" w:color="auto" w:fill="D9D9D9"/>
          </w:tcPr>
          <w:p>
            <w:r/>
            <w:r>
              <w:rPr>
                <w:rFonts w:ascii="Arial" w:hAnsi="Arial"/>
                <w:b/>
                <w:i w:val="0"/>
                <w:color w:val="000000"/>
                <w:sz w:val="17"/>
              </w:rPr>
              <w:t>Estrategia diferenciada</w:t>
            </w:r>
          </w:p>
        </w:tc>
      </w:tr>
      <w:tr>
        <w:tc>
          <w:tcPr>
            <w:tcW w:type="dxa" w:w="1584"/>
          </w:tcPr>
          <w:p>
            <w:r/>
            <w:r>
              <w:rPr>
                <w:rFonts w:ascii="Arial" w:hAnsi="Arial"/>
                <w:b w:val="0"/>
                <w:i w:val="0"/>
                <w:color w:val="000000"/>
                <w:sz w:val="17"/>
              </w:rPr>
              <w:t>Estratégicos</w:t>
            </w:r>
          </w:p>
        </w:tc>
        <w:tc>
          <w:tcPr>
            <w:tcW w:type="dxa" w:w="1872"/>
          </w:tcPr>
          <w:p>
            <w:r/>
            <w:r>
              <w:rPr>
                <w:rFonts w:ascii="Arial" w:hAnsi="Arial"/>
                <w:b w:val="0"/>
                <w:i w:val="0"/>
                <w:color w:val="000000"/>
                <w:sz w:val="17"/>
              </w:rPr>
              <w:t>Alto impacto / Alto riesgo</w:t>
            </w:r>
          </w:p>
        </w:tc>
        <w:tc>
          <w:tcPr>
            <w:tcW w:type="dxa" w:w="2160"/>
          </w:tcPr>
          <w:p>
            <w:r/>
            <w:r>
              <w:rPr>
                <w:rFonts w:ascii="Arial" w:hAnsi="Arial"/>
                <w:b w:val="0"/>
                <w:i w:val="0"/>
                <w:color w:val="000000"/>
                <w:sz w:val="17"/>
              </w:rPr>
              <w:t>Paneles solares, inversores</w:t>
            </w:r>
          </w:p>
        </w:tc>
        <w:tc>
          <w:tcPr>
            <w:tcW w:type="dxa" w:w="3168"/>
          </w:tcPr>
          <w:p>
            <w:r/>
            <w:r>
              <w:rPr>
                <w:rFonts w:ascii="Arial" w:hAnsi="Arial"/>
                <w:b w:val="0"/>
                <w:i w:val="0"/>
                <w:color w:val="000000"/>
                <w:sz w:val="17"/>
              </w:rPr>
              <w:t>Alianzas de largo plazo, contratos marco, dual sourcing, planeación conjunta.</w:t>
            </w:r>
          </w:p>
        </w:tc>
      </w:tr>
      <w:tr>
        <w:tc>
          <w:tcPr>
            <w:tcW w:type="dxa" w:w="1584"/>
          </w:tcPr>
          <w:p>
            <w:r/>
            <w:r>
              <w:rPr>
                <w:rFonts w:ascii="Arial" w:hAnsi="Arial"/>
                <w:b w:val="0"/>
                <w:i w:val="0"/>
                <w:color w:val="000000"/>
                <w:sz w:val="17"/>
              </w:rPr>
              <w:t>Cuello de botella</w:t>
            </w:r>
          </w:p>
        </w:tc>
        <w:tc>
          <w:tcPr>
            <w:tcW w:type="dxa" w:w="1872"/>
          </w:tcPr>
          <w:p>
            <w:r/>
            <w:r>
              <w:rPr>
                <w:rFonts w:ascii="Arial" w:hAnsi="Arial"/>
                <w:b w:val="0"/>
                <w:i w:val="0"/>
                <w:color w:val="000000"/>
                <w:sz w:val="17"/>
              </w:rPr>
              <w:t>Bajo impacto / Alto riesgo</w:t>
            </w:r>
          </w:p>
        </w:tc>
        <w:tc>
          <w:tcPr>
            <w:tcW w:type="dxa" w:w="2160"/>
          </w:tcPr>
          <w:p>
            <w:r/>
            <w:r>
              <w:rPr>
                <w:rFonts w:ascii="Arial" w:hAnsi="Arial"/>
                <w:b w:val="0"/>
                <w:i w:val="0"/>
                <w:color w:val="000000"/>
                <w:sz w:val="17"/>
              </w:rPr>
              <w:t>Transformadores, equipos especiales</w:t>
            </w:r>
          </w:p>
        </w:tc>
        <w:tc>
          <w:tcPr>
            <w:tcW w:type="dxa" w:w="3168"/>
          </w:tcPr>
          <w:p>
            <w:r/>
            <w:r>
              <w:rPr>
                <w:rFonts w:ascii="Arial" w:hAnsi="Arial"/>
                <w:b w:val="0"/>
                <w:i w:val="0"/>
                <w:color w:val="000000"/>
                <w:sz w:val="17"/>
              </w:rPr>
              <w:t>Asegurar stock de seguridad, contratos de continuidad, buscar proveedores alternos.</w:t>
            </w:r>
          </w:p>
        </w:tc>
      </w:tr>
      <w:tr>
        <w:tc>
          <w:tcPr>
            <w:tcW w:type="dxa" w:w="1584"/>
          </w:tcPr>
          <w:p>
            <w:r/>
            <w:r>
              <w:rPr>
                <w:rFonts w:ascii="Arial" w:hAnsi="Arial"/>
                <w:b w:val="0"/>
                <w:i w:val="0"/>
                <w:color w:val="000000"/>
                <w:sz w:val="17"/>
              </w:rPr>
              <w:t>Apalancados</w:t>
            </w:r>
          </w:p>
        </w:tc>
        <w:tc>
          <w:tcPr>
            <w:tcW w:type="dxa" w:w="1872"/>
          </w:tcPr>
          <w:p>
            <w:r/>
            <w:r>
              <w:rPr>
                <w:rFonts w:ascii="Arial" w:hAnsi="Arial"/>
                <w:b w:val="0"/>
                <w:i w:val="0"/>
                <w:color w:val="000000"/>
                <w:sz w:val="17"/>
              </w:rPr>
              <w:t>Alto impacto / Bajo riesgo</w:t>
            </w:r>
          </w:p>
        </w:tc>
        <w:tc>
          <w:tcPr>
            <w:tcW w:type="dxa" w:w="2160"/>
          </w:tcPr>
          <w:p>
            <w:r/>
            <w:r>
              <w:rPr>
                <w:rFonts w:ascii="Arial" w:hAnsi="Arial"/>
                <w:b w:val="0"/>
                <w:i w:val="0"/>
                <w:color w:val="000000"/>
                <w:sz w:val="17"/>
              </w:rPr>
              <w:t>Estructuras, cableado, obra civil</w:t>
            </w:r>
          </w:p>
        </w:tc>
        <w:tc>
          <w:tcPr>
            <w:tcW w:type="dxa" w:w="3168"/>
          </w:tcPr>
          <w:p>
            <w:r/>
            <w:r>
              <w:rPr>
                <w:rFonts w:ascii="Arial" w:hAnsi="Arial"/>
                <w:b w:val="0"/>
                <w:i w:val="0"/>
                <w:color w:val="000000"/>
                <w:sz w:val="17"/>
              </w:rPr>
              <w:t>Negociación por volumen, licitaciones, subastas, consolidar proveedores.</w:t>
            </w:r>
          </w:p>
        </w:tc>
      </w:tr>
      <w:tr>
        <w:tc>
          <w:tcPr>
            <w:tcW w:type="dxa" w:w="1584"/>
          </w:tcPr>
          <w:p>
            <w:r/>
            <w:r>
              <w:rPr>
                <w:rFonts w:ascii="Arial" w:hAnsi="Arial"/>
                <w:b w:val="0"/>
                <w:i w:val="0"/>
                <w:color w:val="000000"/>
                <w:sz w:val="17"/>
              </w:rPr>
              <w:t>Rutinarios</w:t>
            </w:r>
          </w:p>
        </w:tc>
        <w:tc>
          <w:tcPr>
            <w:tcW w:type="dxa" w:w="1872"/>
          </w:tcPr>
          <w:p>
            <w:r/>
            <w:r>
              <w:rPr>
                <w:rFonts w:ascii="Arial" w:hAnsi="Arial"/>
                <w:b w:val="0"/>
                <w:i w:val="0"/>
                <w:color w:val="000000"/>
                <w:sz w:val="17"/>
              </w:rPr>
              <w:t>Bajo impacto / Bajo riesgo</w:t>
            </w:r>
          </w:p>
        </w:tc>
        <w:tc>
          <w:tcPr>
            <w:tcW w:type="dxa" w:w="2160"/>
          </w:tcPr>
          <w:p>
            <w:r/>
            <w:r>
              <w:rPr>
                <w:rFonts w:ascii="Arial" w:hAnsi="Arial"/>
                <w:b w:val="0"/>
                <w:i w:val="0"/>
                <w:color w:val="000000"/>
                <w:sz w:val="17"/>
              </w:rPr>
              <w:t>Insumos menores, papelería, EPP</w:t>
            </w:r>
          </w:p>
        </w:tc>
        <w:tc>
          <w:tcPr>
            <w:tcW w:type="dxa" w:w="3168"/>
          </w:tcPr>
          <w:p>
            <w:r/>
            <w:r>
              <w:rPr>
                <w:rFonts w:ascii="Arial" w:hAnsi="Arial"/>
                <w:b w:val="0"/>
                <w:i w:val="0"/>
                <w:color w:val="000000"/>
                <w:sz w:val="17"/>
              </w:rPr>
              <w:t>Simplificar y automatizar (catálogos, órdenes automáticas), reducir esfuerzo.</w:t>
            </w:r>
          </w:p>
        </w:tc>
      </w:tr>
    </w:tbl>
    <w:p>
      <w:pPr>
        <w:spacing w:after="40"/>
      </w:pPr>
    </w:p>
    <w:p>
      <w:pPr>
        <w:spacing w:after="160"/>
        <w:jc w:val="left"/>
      </w:pPr>
      <w:r>
        <w:rPr>
          <w:rFonts w:ascii="Arial" w:hAnsi="Arial"/>
          <w:b w:val="0"/>
          <w:i/>
          <w:color w:val="000000"/>
          <w:sz w:val="18"/>
        </w:rPr>
        <w:t>Nota. Elaboración propia con base en Kraljic (1983).</w:t>
      </w:r>
    </w:p>
    <w:p>
      <w:pPr>
        <w:keepNext/>
        <w:spacing w:before="160" w:after="60"/>
      </w:pPr>
      <w:r>
        <w:rPr>
          <w:rFonts w:ascii="Arial" w:hAnsi="Arial"/>
          <w:b/>
          <w:i w:val="0"/>
          <w:color w:val="000000"/>
          <w:sz w:val="22"/>
        </w:rPr>
        <w:t>Categorías críticas</w:t>
      </w:r>
    </w:p>
    <w:p>
      <w:pPr>
        <w:jc w:val="both"/>
      </w:pPr>
      <w:r>
        <w:rPr>
          <w:rFonts w:ascii="Arial" w:hAnsi="Arial"/>
          <w:b w:val="0"/>
          <w:i w:val="0"/>
          <w:color w:val="000000"/>
          <w:sz w:val="22"/>
        </w:rPr>
        <w:t>Las categorías críticas son las del cuadrante estratégico (paneles e inversores) y las de cuello de botella (transformadores y equipos especiales), porque un problema de suministro en cualquiera de ellas detiene el proyecto. Estas son las que más atención, seguimiento y planeación anticipada requieren.</w:t>
      </w:r>
    </w:p>
    <w:p>
      <w:pPr>
        <w:keepNext/>
        <w:spacing w:before="160" w:after="60"/>
      </w:pPr>
      <w:r>
        <w:rPr>
          <w:rFonts w:ascii="Arial" w:hAnsi="Arial"/>
          <w:b/>
          <w:i w:val="0"/>
          <w:color w:val="000000"/>
          <w:sz w:val="22"/>
        </w:rPr>
        <w:t>Estrategias diferenciadas por categoría</w:t>
      </w:r>
    </w:p>
    <w:p>
      <w:pPr>
        <w:pStyle w:val="ListBullet"/>
        <w:jc w:val="both"/>
      </w:pPr>
      <w:r>
        <w:rPr>
          <w:rFonts w:ascii="Arial" w:hAnsi="Arial"/>
          <w:b w:val="0"/>
          <w:i w:val="0"/>
          <w:color w:val="000000"/>
          <w:sz w:val="22"/>
        </w:rPr>
        <w:t>Estratégicos (paneles, inversores): construir relaciones de largo plazo con proveedores clave, negociar contratos marco con precios y tiempos asegurados, y evaluar un segundo proveedor (dual sourcing) para no depender de uno solo.</w:t>
      </w:r>
    </w:p>
    <w:p>
      <w:pPr>
        <w:pStyle w:val="ListBullet"/>
        <w:jc w:val="both"/>
      </w:pPr>
      <w:r>
        <w:rPr>
          <w:rFonts w:ascii="Arial" w:hAnsi="Arial"/>
          <w:b w:val="0"/>
          <w:i w:val="0"/>
          <w:color w:val="000000"/>
          <w:sz w:val="22"/>
        </w:rPr>
        <w:t>Cuello de botella (transformadores): mantener inventario de seguridad, anticipar los pedidos y tener proveedores alternos identificados.</w:t>
      </w:r>
    </w:p>
    <w:p>
      <w:pPr>
        <w:pStyle w:val="ListBullet"/>
        <w:jc w:val="both"/>
      </w:pPr>
      <w:r>
        <w:rPr>
          <w:rFonts w:ascii="Arial" w:hAnsi="Arial"/>
          <w:b w:val="0"/>
          <w:i w:val="0"/>
          <w:color w:val="000000"/>
          <w:sz w:val="22"/>
        </w:rPr>
        <w:t>Apalancados (estructuras, cableado, obra civil): aprovechar el volumen para negociar mejores precios mediante licitaciones o subastas y consolidar la compra en menos proveedores.</w:t>
      </w:r>
    </w:p>
    <w:p>
      <w:pPr>
        <w:pStyle w:val="ListBullet"/>
        <w:jc w:val="both"/>
      </w:pPr>
      <w:r>
        <w:rPr>
          <w:rFonts w:ascii="Arial" w:hAnsi="Arial"/>
          <w:b w:val="0"/>
          <w:i w:val="0"/>
          <w:color w:val="000000"/>
          <w:sz w:val="22"/>
        </w:rPr>
        <w:t>Rutinarios (insumos menores): estandarizar y automatizar con catálogos electrónicos para que el equipo no gaste tiempo en compras de bajo valor.</w:t>
      </w:r>
    </w:p>
    <w:p>
      <w:pPr>
        <w:keepNext/>
        <w:spacing w:before="280" w:after="120"/>
        <w:jc w:val="center"/>
      </w:pPr>
      <w:r>
        <w:rPr>
          <w:rFonts w:ascii="Arial" w:hAnsi="Arial"/>
          <w:b/>
          <w:i w:val="0"/>
          <w:color w:val="000000"/>
          <w:sz w:val="24"/>
        </w:rPr>
        <w:t>6. Diseño de KPIs</w:t>
      </w:r>
    </w:p>
    <w:p>
      <w:pPr>
        <w:jc w:val="both"/>
      </w:pPr>
      <w:r>
        <w:rPr>
          <w:rFonts w:ascii="Arial" w:hAnsi="Arial"/>
          <w:b w:val="0"/>
          <w:i w:val="0"/>
          <w:color w:val="000000"/>
          <w:sz w:val="22"/>
        </w:rPr>
        <w:t>Como se vio en el módulo, medir debe servir para decidir, y no todas las métricas son KPIs: un KPI es una métrica prioritaria ligada a un objetivo estratégico. Propongo cinco KPIs para Evolti, uno por cada dimensión solicitada (eficiencia, desempeño de proveedor, riesgo, cumplimiento y sostenibilidad), siguiendo la lógica de la ficha “diccionario de KPI” del módulo (ver Tabla 6).</w:t>
      </w:r>
    </w:p>
    <w:p>
      <w:pPr>
        <w:spacing w:before="120" w:after="0"/>
      </w:pPr>
      <w:r>
        <w:rPr>
          <w:rFonts w:ascii="Arial" w:hAnsi="Arial"/>
          <w:b/>
          <w:i w:val="0"/>
          <w:color w:val="000000"/>
          <w:sz w:val="20"/>
        </w:rPr>
        <w:t>Tabla 6</w:t>
      </w:r>
    </w:p>
    <w:p>
      <w:pPr>
        <w:spacing w:after="160"/>
        <w:jc w:val="left"/>
      </w:pPr>
      <w:r>
        <w:rPr>
          <w:rFonts w:ascii="Arial" w:hAnsi="Arial"/>
          <w:b w:val="0"/>
          <w:i/>
          <w:color w:val="000000"/>
          <w:sz w:val="18"/>
        </w:rPr>
        <w:t>Tablero de KPIs estratégicos propuesto para Evolti</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D9D9D9"/>
          </w:tcPr>
          <w:p>
            <w:r/>
            <w:r>
              <w:rPr>
                <w:rFonts w:ascii="Arial" w:hAnsi="Arial"/>
                <w:b/>
                <w:i w:val="0"/>
                <w:color w:val="000000"/>
                <w:sz w:val="15"/>
              </w:rPr>
              <w:t>KPI (dimensión)</w:t>
            </w:r>
          </w:p>
        </w:tc>
        <w:tc>
          <w:tcPr>
            <w:tcW w:type="dxa" w:w="2016"/>
            <w:shd w:val="clear" w:color="auto" w:fill="D9D9D9"/>
          </w:tcPr>
          <w:p>
            <w:r/>
            <w:r>
              <w:rPr>
                <w:rFonts w:ascii="Arial" w:hAnsi="Arial"/>
                <w:b/>
                <w:i w:val="0"/>
                <w:color w:val="000000"/>
                <w:sz w:val="15"/>
              </w:rPr>
              <w:t>Fórmula</w:t>
            </w:r>
          </w:p>
        </w:tc>
        <w:tc>
          <w:tcPr>
            <w:tcW w:type="dxa" w:w="1584"/>
            <w:shd w:val="clear" w:color="auto" w:fill="D9D9D9"/>
          </w:tcPr>
          <w:p>
            <w:r/>
            <w:r>
              <w:rPr>
                <w:rFonts w:ascii="Arial" w:hAnsi="Arial"/>
                <w:b/>
                <w:i w:val="0"/>
                <w:color w:val="000000"/>
                <w:sz w:val="15"/>
              </w:rPr>
              <w:t>Objetivo</w:t>
            </w:r>
          </w:p>
        </w:tc>
        <w:tc>
          <w:tcPr>
            <w:tcW w:type="dxa" w:w="1008"/>
            <w:shd w:val="clear" w:color="auto" w:fill="D9D9D9"/>
          </w:tcPr>
          <w:p>
            <w:r/>
            <w:r>
              <w:rPr>
                <w:rFonts w:ascii="Arial" w:hAnsi="Arial"/>
                <w:b/>
                <w:i w:val="0"/>
                <w:color w:val="000000"/>
                <w:sz w:val="15"/>
              </w:rPr>
              <w:t>Periodicidad</w:t>
            </w:r>
          </w:p>
        </w:tc>
        <w:tc>
          <w:tcPr>
            <w:tcW w:type="dxa" w:w="1296"/>
            <w:shd w:val="clear" w:color="auto" w:fill="D9D9D9"/>
          </w:tcPr>
          <w:p>
            <w:r/>
            <w:r>
              <w:rPr>
                <w:rFonts w:ascii="Arial" w:hAnsi="Arial"/>
                <w:b/>
                <w:i w:val="0"/>
                <w:color w:val="000000"/>
                <w:sz w:val="15"/>
              </w:rPr>
              <w:t>Responsable</w:t>
            </w:r>
          </w:p>
        </w:tc>
        <w:tc>
          <w:tcPr>
            <w:tcW w:type="dxa" w:w="2016"/>
            <w:shd w:val="clear" w:color="auto" w:fill="D9D9D9"/>
          </w:tcPr>
          <w:p>
            <w:r/>
            <w:r>
              <w:rPr>
                <w:rFonts w:ascii="Arial" w:hAnsi="Arial"/>
                <w:b/>
                <w:i w:val="0"/>
                <w:color w:val="000000"/>
                <w:sz w:val="15"/>
              </w:rPr>
              <w:t>Acción correctiva</w:t>
            </w:r>
          </w:p>
        </w:tc>
      </w:tr>
      <w:tr>
        <w:tc>
          <w:tcPr>
            <w:tcW w:type="dxa" w:w="1872"/>
          </w:tcPr>
          <w:p>
            <w:r/>
            <w:r>
              <w:rPr>
                <w:rFonts w:ascii="Arial" w:hAnsi="Arial"/>
                <w:b w:val="0"/>
                <w:i w:val="0"/>
                <w:color w:val="000000"/>
                <w:sz w:val="15"/>
              </w:rPr>
              <w:t>Tiempo de ciclo de compra (Eficiencia)</w:t>
            </w:r>
          </w:p>
        </w:tc>
        <w:tc>
          <w:tcPr>
            <w:tcW w:type="dxa" w:w="2016"/>
          </w:tcPr>
          <w:p>
            <w:r/>
            <w:r>
              <w:rPr>
                <w:rFonts w:ascii="Arial" w:hAnsi="Arial"/>
                <w:b w:val="0"/>
                <w:i w:val="0"/>
                <w:color w:val="000000"/>
                <w:sz w:val="15"/>
              </w:rPr>
              <w:t>Días desde requisición hasta orden/recepción</w:t>
            </w:r>
          </w:p>
        </w:tc>
        <w:tc>
          <w:tcPr>
            <w:tcW w:type="dxa" w:w="1584"/>
          </w:tcPr>
          <w:p>
            <w:r/>
            <w:r>
              <w:rPr>
                <w:rFonts w:ascii="Arial" w:hAnsi="Arial"/>
                <w:b w:val="0"/>
                <w:i w:val="0"/>
                <w:color w:val="000000"/>
                <w:sz w:val="15"/>
              </w:rPr>
              <w:t>Reducir el ciclo y las urgencias</w:t>
            </w:r>
          </w:p>
        </w:tc>
        <w:tc>
          <w:tcPr>
            <w:tcW w:type="dxa" w:w="1008"/>
          </w:tcPr>
          <w:p>
            <w:r/>
            <w:r>
              <w:rPr>
                <w:rFonts w:ascii="Arial" w:hAnsi="Arial"/>
                <w:b w:val="0"/>
                <w:i w:val="0"/>
                <w:color w:val="000000"/>
                <w:sz w:val="15"/>
              </w:rPr>
              <w:t>Mensual</w:t>
            </w:r>
          </w:p>
        </w:tc>
        <w:tc>
          <w:tcPr>
            <w:tcW w:type="dxa" w:w="1296"/>
          </w:tcPr>
          <w:p>
            <w:r/>
            <w:r>
              <w:rPr>
                <w:rFonts w:ascii="Arial" w:hAnsi="Arial"/>
                <w:b w:val="0"/>
                <w:i w:val="0"/>
                <w:color w:val="000000"/>
                <w:sz w:val="15"/>
              </w:rPr>
              <w:t>Analista de compras</w:t>
            </w:r>
          </w:p>
        </w:tc>
        <w:tc>
          <w:tcPr>
            <w:tcW w:type="dxa" w:w="2016"/>
          </w:tcPr>
          <w:p>
            <w:r/>
            <w:r>
              <w:rPr>
                <w:rFonts w:ascii="Arial" w:hAnsi="Arial"/>
                <w:b w:val="0"/>
                <w:i w:val="0"/>
                <w:color w:val="000000"/>
                <w:sz w:val="15"/>
              </w:rPr>
              <w:t>Revisar cuellos de botella y anticipar requisiciones.</w:t>
            </w:r>
          </w:p>
        </w:tc>
      </w:tr>
      <w:tr>
        <w:tc>
          <w:tcPr>
            <w:tcW w:type="dxa" w:w="1872"/>
          </w:tcPr>
          <w:p>
            <w:r/>
            <w:r>
              <w:rPr>
                <w:rFonts w:ascii="Arial" w:hAnsi="Arial"/>
                <w:b w:val="0"/>
                <w:i w:val="0"/>
                <w:color w:val="000000"/>
                <w:sz w:val="15"/>
              </w:rPr>
              <w:t>Entrega a tiempo – OTD (Desempeño proveedor)</w:t>
            </w:r>
          </w:p>
        </w:tc>
        <w:tc>
          <w:tcPr>
            <w:tcW w:type="dxa" w:w="2016"/>
          </w:tcPr>
          <w:p>
            <w:r/>
            <w:r>
              <w:rPr>
                <w:rFonts w:ascii="Arial" w:hAnsi="Arial"/>
                <w:b w:val="0"/>
                <w:i w:val="0"/>
                <w:color w:val="000000"/>
                <w:sz w:val="15"/>
              </w:rPr>
              <w:t>(Entregas a tiempo / total entregas) × 100</w:t>
            </w:r>
          </w:p>
        </w:tc>
        <w:tc>
          <w:tcPr>
            <w:tcW w:type="dxa" w:w="1584"/>
          </w:tcPr>
          <w:p>
            <w:r/>
            <w:r>
              <w:rPr>
                <w:rFonts w:ascii="Arial" w:hAnsi="Arial"/>
                <w:b w:val="0"/>
                <w:i w:val="0"/>
                <w:color w:val="000000"/>
                <w:sz w:val="15"/>
              </w:rPr>
              <w:t>≥ 92 % de entregas a tiempo</w:t>
            </w:r>
          </w:p>
        </w:tc>
        <w:tc>
          <w:tcPr>
            <w:tcW w:type="dxa" w:w="1008"/>
          </w:tcPr>
          <w:p>
            <w:r/>
            <w:r>
              <w:rPr>
                <w:rFonts w:ascii="Arial" w:hAnsi="Arial"/>
                <w:b w:val="0"/>
                <w:i w:val="0"/>
                <w:color w:val="000000"/>
                <w:sz w:val="15"/>
              </w:rPr>
              <w:t>Mensual</w:t>
            </w:r>
          </w:p>
        </w:tc>
        <w:tc>
          <w:tcPr>
            <w:tcW w:type="dxa" w:w="1296"/>
          </w:tcPr>
          <w:p>
            <w:r/>
            <w:r>
              <w:rPr>
                <w:rFonts w:ascii="Arial" w:hAnsi="Arial"/>
                <w:b w:val="0"/>
                <w:i w:val="0"/>
                <w:color w:val="000000"/>
                <w:sz w:val="15"/>
              </w:rPr>
              <w:t>Coordinador de compras</w:t>
            </w:r>
          </w:p>
        </w:tc>
        <w:tc>
          <w:tcPr>
            <w:tcW w:type="dxa" w:w="2016"/>
          </w:tcPr>
          <w:p>
            <w:r/>
            <w:r>
              <w:rPr>
                <w:rFonts w:ascii="Arial" w:hAnsi="Arial"/>
                <w:b w:val="0"/>
                <w:i w:val="0"/>
                <w:color w:val="000000"/>
                <w:sz w:val="15"/>
              </w:rPr>
              <w:t>Plan de mejora con el proveedor; activar dual sourcing.</w:t>
            </w:r>
          </w:p>
        </w:tc>
      </w:tr>
      <w:tr>
        <w:tc>
          <w:tcPr>
            <w:tcW w:type="dxa" w:w="1872"/>
          </w:tcPr>
          <w:p>
            <w:r/>
            <w:r>
              <w:rPr>
                <w:rFonts w:ascii="Arial" w:hAnsi="Arial"/>
                <w:b w:val="0"/>
                <w:i w:val="0"/>
                <w:color w:val="000000"/>
                <w:sz w:val="15"/>
              </w:rPr>
              <w:t>Proveedores críticos con plan de continuidad (Riesgo)</w:t>
            </w:r>
          </w:p>
        </w:tc>
        <w:tc>
          <w:tcPr>
            <w:tcW w:type="dxa" w:w="2016"/>
          </w:tcPr>
          <w:p>
            <w:r/>
            <w:r>
              <w:rPr>
                <w:rFonts w:ascii="Arial" w:hAnsi="Arial"/>
                <w:b w:val="0"/>
                <w:i w:val="0"/>
                <w:color w:val="000000"/>
                <w:sz w:val="15"/>
              </w:rPr>
              <w:t>(Críticos con plan / total críticos) × 100</w:t>
            </w:r>
          </w:p>
        </w:tc>
        <w:tc>
          <w:tcPr>
            <w:tcW w:type="dxa" w:w="1584"/>
          </w:tcPr>
          <w:p>
            <w:r/>
            <w:r>
              <w:rPr>
                <w:rFonts w:ascii="Arial" w:hAnsi="Arial"/>
                <w:b w:val="0"/>
                <w:i w:val="0"/>
                <w:color w:val="000000"/>
                <w:sz w:val="15"/>
              </w:rPr>
              <w:t>100 % de críticos con plan</w:t>
            </w:r>
          </w:p>
        </w:tc>
        <w:tc>
          <w:tcPr>
            <w:tcW w:type="dxa" w:w="1008"/>
          </w:tcPr>
          <w:p>
            <w:r/>
            <w:r>
              <w:rPr>
                <w:rFonts w:ascii="Arial" w:hAnsi="Arial"/>
                <w:b w:val="0"/>
                <w:i w:val="0"/>
                <w:color w:val="000000"/>
                <w:sz w:val="15"/>
              </w:rPr>
              <w:t>Trimestral</w:t>
            </w:r>
          </w:p>
        </w:tc>
        <w:tc>
          <w:tcPr>
            <w:tcW w:type="dxa" w:w="1296"/>
          </w:tcPr>
          <w:p>
            <w:r/>
            <w:r>
              <w:rPr>
                <w:rFonts w:ascii="Arial" w:hAnsi="Arial"/>
                <w:b w:val="0"/>
                <w:i w:val="0"/>
                <w:color w:val="000000"/>
                <w:sz w:val="15"/>
              </w:rPr>
              <w:t>Jefe de abastecimiento</w:t>
            </w:r>
          </w:p>
        </w:tc>
        <w:tc>
          <w:tcPr>
            <w:tcW w:type="dxa" w:w="2016"/>
          </w:tcPr>
          <w:p>
            <w:r/>
            <w:r>
              <w:rPr>
                <w:rFonts w:ascii="Arial" w:hAnsi="Arial"/>
                <w:b w:val="0"/>
                <w:i w:val="0"/>
                <w:color w:val="000000"/>
                <w:sz w:val="15"/>
              </w:rPr>
              <w:t>Diseñar plan de contingencia para los que falten.</w:t>
            </w:r>
          </w:p>
        </w:tc>
      </w:tr>
      <w:tr>
        <w:tc>
          <w:tcPr>
            <w:tcW w:type="dxa" w:w="1872"/>
          </w:tcPr>
          <w:p>
            <w:r/>
            <w:r>
              <w:rPr>
                <w:rFonts w:ascii="Arial" w:hAnsi="Arial"/>
                <w:b w:val="0"/>
                <w:i w:val="0"/>
                <w:color w:val="000000"/>
                <w:sz w:val="15"/>
              </w:rPr>
              <w:t>Gasto bajo contrato / touchless (Cumplimiento)</w:t>
            </w:r>
          </w:p>
        </w:tc>
        <w:tc>
          <w:tcPr>
            <w:tcW w:type="dxa" w:w="2016"/>
          </w:tcPr>
          <w:p>
            <w:r/>
            <w:r>
              <w:rPr>
                <w:rFonts w:ascii="Arial" w:hAnsi="Arial"/>
                <w:b w:val="0"/>
                <w:i w:val="0"/>
                <w:color w:val="000000"/>
                <w:sz w:val="15"/>
              </w:rPr>
              <w:t>(Compras por canal definido / total) × 100</w:t>
            </w:r>
          </w:p>
        </w:tc>
        <w:tc>
          <w:tcPr>
            <w:tcW w:type="dxa" w:w="1584"/>
          </w:tcPr>
          <w:p>
            <w:r/>
            <w:r>
              <w:rPr>
                <w:rFonts w:ascii="Arial" w:hAnsi="Arial"/>
                <w:b w:val="0"/>
                <w:i w:val="0"/>
                <w:color w:val="000000"/>
                <w:sz w:val="15"/>
              </w:rPr>
              <w:t>≥ 85 % del gasto bajo contrato</w:t>
            </w:r>
          </w:p>
        </w:tc>
        <w:tc>
          <w:tcPr>
            <w:tcW w:type="dxa" w:w="1008"/>
          </w:tcPr>
          <w:p>
            <w:r/>
            <w:r>
              <w:rPr>
                <w:rFonts w:ascii="Arial" w:hAnsi="Arial"/>
                <w:b w:val="0"/>
                <w:i w:val="0"/>
                <w:color w:val="000000"/>
                <w:sz w:val="15"/>
              </w:rPr>
              <w:t>Mensual</w:t>
            </w:r>
          </w:p>
        </w:tc>
        <w:tc>
          <w:tcPr>
            <w:tcW w:type="dxa" w:w="1296"/>
          </w:tcPr>
          <w:p>
            <w:r/>
            <w:r>
              <w:rPr>
                <w:rFonts w:ascii="Arial" w:hAnsi="Arial"/>
                <w:b w:val="0"/>
                <w:i w:val="0"/>
                <w:color w:val="000000"/>
                <w:sz w:val="15"/>
              </w:rPr>
              <w:t>Jefe de abastecimiento</w:t>
            </w:r>
          </w:p>
        </w:tc>
        <w:tc>
          <w:tcPr>
            <w:tcW w:type="dxa" w:w="2016"/>
          </w:tcPr>
          <w:p>
            <w:r/>
            <w:r>
              <w:rPr>
                <w:rFonts w:ascii="Arial" w:hAnsi="Arial"/>
                <w:b w:val="0"/>
                <w:i w:val="0"/>
                <w:color w:val="000000"/>
                <w:sz w:val="15"/>
              </w:rPr>
              <w:t>Investigar maverick spend y reforzar la política.</w:t>
            </w:r>
          </w:p>
        </w:tc>
      </w:tr>
      <w:tr>
        <w:tc>
          <w:tcPr>
            <w:tcW w:type="dxa" w:w="1872"/>
          </w:tcPr>
          <w:p>
            <w:r/>
            <w:r>
              <w:rPr>
                <w:rFonts w:ascii="Arial" w:hAnsi="Arial"/>
                <w:b w:val="0"/>
                <w:i w:val="0"/>
                <w:color w:val="000000"/>
                <w:sz w:val="15"/>
              </w:rPr>
              <w:t>Compras con criterios sostenibles (Sostenibilidad)</w:t>
            </w:r>
          </w:p>
        </w:tc>
        <w:tc>
          <w:tcPr>
            <w:tcW w:type="dxa" w:w="2016"/>
          </w:tcPr>
          <w:p>
            <w:r/>
            <w:r>
              <w:rPr>
                <w:rFonts w:ascii="Arial" w:hAnsi="Arial"/>
                <w:b w:val="0"/>
                <w:i w:val="0"/>
                <w:color w:val="000000"/>
                <w:sz w:val="15"/>
              </w:rPr>
              <w:t>(Gasto con criterios ESG / total) × 100</w:t>
            </w:r>
          </w:p>
        </w:tc>
        <w:tc>
          <w:tcPr>
            <w:tcW w:type="dxa" w:w="1584"/>
          </w:tcPr>
          <w:p>
            <w:r/>
            <w:r>
              <w:rPr>
                <w:rFonts w:ascii="Arial" w:hAnsi="Arial"/>
                <w:b w:val="0"/>
                <w:i w:val="0"/>
                <w:color w:val="000000"/>
                <w:sz w:val="15"/>
              </w:rPr>
              <w:t>≥ 30 % en el primer año (ISO 20400)</w:t>
            </w:r>
          </w:p>
        </w:tc>
        <w:tc>
          <w:tcPr>
            <w:tcW w:type="dxa" w:w="1008"/>
          </w:tcPr>
          <w:p>
            <w:r/>
            <w:r>
              <w:rPr>
                <w:rFonts w:ascii="Arial" w:hAnsi="Arial"/>
                <w:b w:val="0"/>
                <w:i w:val="0"/>
                <w:color w:val="000000"/>
                <w:sz w:val="15"/>
              </w:rPr>
              <w:t>Trimestral</w:t>
            </w:r>
          </w:p>
        </w:tc>
        <w:tc>
          <w:tcPr>
            <w:tcW w:type="dxa" w:w="1296"/>
          </w:tcPr>
          <w:p>
            <w:r/>
            <w:r>
              <w:rPr>
                <w:rFonts w:ascii="Arial" w:hAnsi="Arial"/>
                <w:b w:val="0"/>
                <w:i w:val="0"/>
                <w:color w:val="000000"/>
                <w:sz w:val="15"/>
              </w:rPr>
              <w:t>Compras + Gerencia</w:t>
            </w:r>
          </w:p>
        </w:tc>
        <w:tc>
          <w:tcPr>
            <w:tcW w:type="dxa" w:w="2016"/>
          </w:tcPr>
          <w:p>
            <w:r/>
            <w:r>
              <w:rPr>
                <w:rFonts w:ascii="Arial" w:hAnsi="Arial"/>
                <w:b w:val="0"/>
                <w:i w:val="0"/>
                <w:color w:val="000000"/>
                <w:sz w:val="15"/>
              </w:rPr>
              <w:t>Incluir criterios ESG en pliegos y evaluación.</w:t>
            </w:r>
          </w:p>
        </w:tc>
      </w:tr>
    </w:tbl>
    <w:p>
      <w:pPr>
        <w:spacing w:after="40"/>
      </w:pPr>
    </w:p>
    <w:p>
      <w:pPr>
        <w:spacing w:after="160"/>
        <w:jc w:val="left"/>
      </w:pPr>
      <w:r>
        <w:rPr>
          <w:rFonts w:ascii="Arial" w:hAnsi="Arial"/>
          <w:b w:val="0"/>
          <w:i/>
          <w:color w:val="000000"/>
          <w:sz w:val="18"/>
        </w:rPr>
        <w:t>Nota. Elaboración propia con base en la Tabla de KPI del Módulo 1 y en la NTC-ISO 20400 (ICONTEC, 2017).</w:t>
      </w:r>
    </w:p>
    <w:p>
      <w:pPr>
        <w:jc w:val="both"/>
      </w:pPr>
      <w:r>
        <w:rPr>
          <w:rFonts w:ascii="Arial" w:hAnsi="Arial"/>
          <w:b w:val="0"/>
          <w:i w:val="0"/>
          <w:color w:val="000000"/>
          <w:sz w:val="22"/>
        </w:rPr>
        <w:t>Cada KPI tendría metas tipo semáforo (verde/amarillo/rojo) para facilitar la lectura gerencial. También hay que cuidar los riesgos de los KPIs vistos en el módulo, como las “métricas vanidosas”, inflar ahorros por doble conteo o el greenwashing en sostenibilidad.</w:t>
      </w:r>
    </w:p>
    <w:p>
      <w:pPr>
        <w:keepNext/>
        <w:spacing w:before="280" w:after="120"/>
        <w:jc w:val="center"/>
      </w:pPr>
      <w:r>
        <w:rPr>
          <w:rFonts w:ascii="Arial" w:hAnsi="Arial"/>
          <w:b/>
          <w:i w:val="0"/>
          <w:color w:val="000000"/>
          <w:sz w:val="24"/>
        </w:rPr>
        <w:t>7. Diseño del modelo de gobierno de compras</w:t>
      </w:r>
    </w:p>
    <w:p>
      <w:pPr>
        <w:keepNext/>
        <w:spacing w:before="160" w:after="60"/>
      </w:pPr>
      <w:r>
        <w:rPr>
          <w:rFonts w:ascii="Arial" w:hAnsi="Arial"/>
          <w:b/>
          <w:i w:val="0"/>
          <w:color w:val="000000"/>
          <w:sz w:val="22"/>
        </w:rPr>
        <w:t>Modelo de compras propuesto</w:t>
      </w:r>
    </w:p>
    <w:p>
      <w:pPr>
        <w:jc w:val="both"/>
      </w:pPr>
      <w:r>
        <w:rPr>
          <w:rFonts w:ascii="Arial" w:hAnsi="Arial"/>
          <w:b w:val="0"/>
          <w:i w:val="0"/>
          <w:color w:val="000000"/>
          <w:sz w:val="22"/>
        </w:rPr>
        <w:t>Propongo un modelo híbrido: las categorías estratégicas (paneles, inversores, estructuras) se compran de forma centralizada para consolidar volumen y negociar mejor, mientras que las compras menores y urgentes de cada proyecto se pueden ejecutar localmente pero bajo reglas claras y con topes definidos. Este modelo equilibra el control con la agilidad, que es justo lo que necesita una empresa que trabaja por proyectos con cronogramas ajustados.</w:t>
      </w:r>
    </w:p>
    <w:p>
      <w:pPr>
        <w:keepNext/>
        <w:spacing w:before="160" w:after="60"/>
      </w:pPr>
      <w:r>
        <w:rPr>
          <w:rFonts w:ascii="Arial" w:hAnsi="Arial"/>
          <w:b/>
          <w:i w:val="0"/>
          <w:color w:val="000000"/>
          <w:sz w:val="22"/>
        </w:rPr>
        <w:t>Matriz básica RACI</w:t>
      </w:r>
    </w:p>
    <w:p>
      <w:pPr>
        <w:jc w:val="both"/>
      </w:pPr>
      <w:r>
        <w:rPr>
          <w:rFonts w:ascii="Arial" w:hAnsi="Arial"/>
          <w:b w:val="0"/>
          <w:i w:val="0"/>
          <w:color w:val="000000"/>
          <w:sz w:val="22"/>
        </w:rPr>
        <w:t>La matriz RACI ayuda a clarificar responsabilidades y a reducir riesgos de fraude y reprocesos, separando quién solicita, quién adjudica y quién paga (R = Responsable, A = Aprueba, C = Consultado, I = Informado). Ver Tabla 7.</w:t>
      </w:r>
    </w:p>
    <w:p>
      <w:pPr>
        <w:spacing w:before="120" w:after="0"/>
      </w:pPr>
      <w:r>
        <w:rPr>
          <w:rFonts w:ascii="Arial" w:hAnsi="Arial"/>
          <w:b/>
          <w:i w:val="0"/>
          <w:color w:val="000000"/>
          <w:sz w:val="20"/>
        </w:rPr>
        <w:t>Tabla 7</w:t>
      </w:r>
    </w:p>
    <w:p>
      <w:pPr>
        <w:spacing w:after="160"/>
        <w:jc w:val="left"/>
      </w:pPr>
      <w:r>
        <w:rPr>
          <w:rFonts w:ascii="Arial" w:hAnsi="Arial"/>
          <w:b w:val="0"/>
          <w:i/>
          <w:color w:val="000000"/>
          <w:sz w:val="18"/>
        </w:rPr>
        <w:t>Matriz RACI básica del ciclo de compras (Source-to-Pay) en Evolti</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736"/>
            <w:shd w:val="clear" w:color="auto" w:fill="D9D9D9"/>
          </w:tcPr>
          <w:p>
            <w:r/>
            <w:r>
              <w:rPr>
                <w:rFonts w:ascii="Arial" w:hAnsi="Arial"/>
                <w:b/>
                <w:i w:val="0"/>
                <w:color w:val="000000"/>
                <w:sz w:val="17"/>
              </w:rPr>
              <w:t>Actividad</w:t>
            </w:r>
          </w:p>
        </w:tc>
        <w:tc>
          <w:tcPr>
            <w:tcW w:type="dxa" w:w="1584"/>
            <w:shd w:val="clear" w:color="auto" w:fill="D9D9D9"/>
          </w:tcPr>
          <w:p>
            <w:r/>
            <w:r>
              <w:rPr>
                <w:rFonts w:ascii="Arial" w:hAnsi="Arial"/>
                <w:b/>
                <w:i w:val="0"/>
                <w:color w:val="000000"/>
                <w:sz w:val="17"/>
              </w:rPr>
              <w:t>Solicitante (obra)</w:t>
            </w:r>
          </w:p>
        </w:tc>
        <w:tc>
          <w:tcPr>
            <w:tcW w:type="dxa" w:w="1440"/>
            <w:shd w:val="clear" w:color="auto" w:fill="D9D9D9"/>
          </w:tcPr>
          <w:p>
            <w:r/>
            <w:r>
              <w:rPr>
                <w:rFonts w:ascii="Arial" w:hAnsi="Arial"/>
                <w:b/>
                <w:i w:val="0"/>
                <w:color w:val="000000"/>
                <w:sz w:val="17"/>
              </w:rPr>
              <w:t>Analista compras</w:t>
            </w:r>
          </w:p>
        </w:tc>
        <w:tc>
          <w:tcPr>
            <w:tcW w:type="dxa" w:w="1296"/>
            <w:shd w:val="clear" w:color="auto" w:fill="D9D9D9"/>
          </w:tcPr>
          <w:p>
            <w:r/>
            <w:r>
              <w:rPr>
                <w:rFonts w:ascii="Arial" w:hAnsi="Arial"/>
                <w:b/>
                <w:i w:val="0"/>
                <w:color w:val="000000"/>
                <w:sz w:val="17"/>
              </w:rPr>
              <w:t>Jefe abastec.</w:t>
            </w:r>
          </w:p>
        </w:tc>
        <w:tc>
          <w:tcPr>
            <w:tcW w:type="dxa" w:w="1152"/>
            <w:shd w:val="clear" w:color="auto" w:fill="D9D9D9"/>
          </w:tcPr>
          <w:p>
            <w:r/>
            <w:r>
              <w:rPr>
                <w:rFonts w:ascii="Arial" w:hAnsi="Arial"/>
                <w:b/>
                <w:i w:val="0"/>
                <w:color w:val="000000"/>
                <w:sz w:val="17"/>
              </w:rPr>
              <w:t>Gerencia</w:t>
            </w:r>
          </w:p>
        </w:tc>
        <w:tc>
          <w:tcPr>
            <w:tcW w:type="dxa" w:w="1152"/>
            <w:shd w:val="clear" w:color="auto" w:fill="D9D9D9"/>
          </w:tcPr>
          <w:p>
            <w:r/>
            <w:r>
              <w:rPr>
                <w:rFonts w:ascii="Arial" w:hAnsi="Arial"/>
                <w:b/>
                <w:i w:val="0"/>
                <w:color w:val="000000"/>
                <w:sz w:val="17"/>
              </w:rPr>
              <w:t>Finanzas</w:t>
            </w:r>
          </w:p>
        </w:tc>
      </w:tr>
      <w:tr>
        <w:tc>
          <w:tcPr>
            <w:tcW w:type="dxa" w:w="2736"/>
          </w:tcPr>
          <w:p>
            <w:r/>
            <w:r>
              <w:rPr>
                <w:rFonts w:ascii="Arial" w:hAnsi="Arial"/>
                <w:b w:val="0"/>
                <w:i w:val="0"/>
                <w:color w:val="000000"/>
                <w:sz w:val="17"/>
              </w:rPr>
              <w:t>Generar requisición</w:t>
            </w:r>
          </w:p>
        </w:tc>
        <w:tc>
          <w:tcPr>
            <w:tcW w:type="dxa" w:w="1584"/>
          </w:tcPr>
          <w:p>
            <w:r/>
            <w:r>
              <w:rPr>
                <w:rFonts w:ascii="Arial" w:hAnsi="Arial"/>
                <w:b w:val="0"/>
                <w:i w:val="0"/>
                <w:color w:val="000000"/>
                <w:sz w:val="17"/>
              </w:rPr>
              <w:t>R</w:t>
            </w:r>
          </w:p>
        </w:tc>
        <w:tc>
          <w:tcPr>
            <w:tcW w:type="dxa" w:w="1440"/>
          </w:tcPr>
          <w:p>
            <w:r/>
            <w:r>
              <w:rPr>
                <w:rFonts w:ascii="Arial" w:hAnsi="Arial"/>
                <w:b w:val="0"/>
                <w:i w:val="0"/>
                <w:color w:val="000000"/>
                <w:sz w:val="17"/>
              </w:rPr>
              <w:t>C</w:t>
            </w:r>
          </w:p>
        </w:tc>
        <w:tc>
          <w:tcPr>
            <w:tcW w:type="dxa" w:w="1296"/>
          </w:tcPr>
          <w:p>
            <w:r/>
            <w:r>
              <w:rPr>
                <w:rFonts w:ascii="Arial" w:hAnsi="Arial"/>
                <w:b w:val="0"/>
                <w:i w:val="0"/>
                <w:color w:val="000000"/>
                <w:sz w:val="17"/>
              </w:rPr>
              <w:t>I</w:t>
            </w:r>
          </w:p>
        </w:tc>
        <w:tc>
          <w:tcPr>
            <w:tcW w:type="dxa" w:w="1152"/>
          </w:tcPr>
          <w:p>
            <w:r/>
            <w:r>
              <w:rPr>
                <w:rFonts w:ascii="Arial" w:hAnsi="Arial"/>
                <w:b w:val="0"/>
                <w:i w:val="0"/>
                <w:color w:val="000000"/>
                <w:sz w:val="17"/>
              </w:rPr>
            </w:r>
          </w:p>
        </w:tc>
        <w:tc>
          <w:tcPr>
            <w:tcW w:type="dxa" w:w="1152"/>
          </w:tcPr>
          <w:p>
            <w:r/>
            <w:r>
              <w:rPr>
                <w:rFonts w:ascii="Arial" w:hAnsi="Arial"/>
                <w:b w:val="0"/>
                <w:i w:val="0"/>
                <w:color w:val="000000"/>
                <w:sz w:val="17"/>
              </w:rPr>
            </w:r>
          </w:p>
        </w:tc>
      </w:tr>
      <w:tr>
        <w:tc>
          <w:tcPr>
            <w:tcW w:type="dxa" w:w="2736"/>
          </w:tcPr>
          <w:p>
            <w:r/>
            <w:r>
              <w:rPr>
                <w:rFonts w:ascii="Arial" w:hAnsi="Arial"/>
                <w:b w:val="0"/>
                <w:i w:val="0"/>
                <w:color w:val="000000"/>
                <w:sz w:val="17"/>
              </w:rPr>
              <w:t>Cotizar y comparar</w:t>
            </w:r>
          </w:p>
        </w:tc>
        <w:tc>
          <w:tcPr>
            <w:tcW w:type="dxa" w:w="1584"/>
          </w:tcPr>
          <w:p>
            <w:r/>
            <w:r>
              <w:rPr>
                <w:rFonts w:ascii="Arial" w:hAnsi="Arial"/>
                <w:b w:val="0"/>
                <w:i w:val="0"/>
                <w:color w:val="000000"/>
                <w:sz w:val="17"/>
              </w:rPr>
              <w:t>C</w:t>
            </w:r>
          </w:p>
        </w:tc>
        <w:tc>
          <w:tcPr>
            <w:tcW w:type="dxa" w:w="1440"/>
          </w:tcPr>
          <w:p>
            <w:r/>
            <w:r>
              <w:rPr>
                <w:rFonts w:ascii="Arial" w:hAnsi="Arial"/>
                <w:b w:val="0"/>
                <w:i w:val="0"/>
                <w:color w:val="000000"/>
                <w:sz w:val="17"/>
              </w:rPr>
              <w:t>R</w:t>
            </w:r>
          </w:p>
        </w:tc>
        <w:tc>
          <w:tcPr>
            <w:tcW w:type="dxa" w:w="1296"/>
          </w:tcPr>
          <w:p>
            <w:r/>
            <w:r>
              <w:rPr>
                <w:rFonts w:ascii="Arial" w:hAnsi="Arial"/>
                <w:b w:val="0"/>
                <w:i w:val="0"/>
                <w:color w:val="000000"/>
                <w:sz w:val="17"/>
              </w:rPr>
              <w:t>A</w:t>
            </w:r>
          </w:p>
        </w:tc>
        <w:tc>
          <w:tcPr>
            <w:tcW w:type="dxa" w:w="1152"/>
          </w:tcPr>
          <w:p>
            <w:r/>
            <w:r>
              <w:rPr>
                <w:rFonts w:ascii="Arial" w:hAnsi="Arial"/>
                <w:b w:val="0"/>
                <w:i w:val="0"/>
                <w:color w:val="000000"/>
                <w:sz w:val="17"/>
              </w:rPr>
            </w:r>
          </w:p>
        </w:tc>
        <w:tc>
          <w:tcPr>
            <w:tcW w:type="dxa" w:w="1152"/>
          </w:tcPr>
          <w:p>
            <w:r/>
            <w:r>
              <w:rPr>
                <w:rFonts w:ascii="Arial" w:hAnsi="Arial"/>
                <w:b w:val="0"/>
                <w:i w:val="0"/>
                <w:color w:val="000000"/>
                <w:sz w:val="17"/>
              </w:rPr>
            </w:r>
          </w:p>
        </w:tc>
      </w:tr>
      <w:tr>
        <w:tc>
          <w:tcPr>
            <w:tcW w:type="dxa" w:w="2736"/>
          </w:tcPr>
          <w:p>
            <w:r/>
            <w:r>
              <w:rPr>
                <w:rFonts w:ascii="Arial" w:hAnsi="Arial"/>
                <w:b w:val="0"/>
                <w:i w:val="0"/>
                <w:color w:val="000000"/>
                <w:sz w:val="17"/>
              </w:rPr>
              <w:t>Adjudicar / seleccionar</w:t>
            </w:r>
          </w:p>
        </w:tc>
        <w:tc>
          <w:tcPr>
            <w:tcW w:type="dxa" w:w="1584"/>
          </w:tcPr>
          <w:p>
            <w:r/>
            <w:r>
              <w:rPr>
                <w:rFonts w:ascii="Arial" w:hAnsi="Arial"/>
                <w:b w:val="0"/>
                <w:i w:val="0"/>
                <w:color w:val="000000"/>
                <w:sz w:val="17"/>
              </w:rPr>
            </w:r>
          </w:p>
        </w:tc>
        <w:tc>
          <w:tcPr>
            <w:tcW w:type="dxa" w:w="1440"/>
          </w:tcPr>
          <w:p>
            <w:r/>
            <w:r>
              <w:rPr>
                <w:rFonts w:ascii="Arial" w:hAnsi="Arial"/>
                <w:b w:val="0"/>
                <w:i w:val="0"/>
                <w:color w:val="000000"/>
                <w:sz w:val="17"/>
              </w:rPr>
              <w:t>R</w:t>
            </w:r>
          </w:p>
        </w:tc>
        <w:tc>
          <w:tcPr>
            <w:tcW w:type="dxa" w:w="1296"/>
          </w:tcPr>
          <w:p>
            <w:r/>
            <w:r>
              <w:rPr>
                <w:rFonts w:ascii="Arial" w:hAnsi="Arial"/>
                <w:b w:val="0"/>
                <w:i w:val="0"/>
                <w:color w:val="000000"/>
                <w:sz w:val="17"/>
              </w:rPr>
              <w:t>A</w:t>
            </w:r>
          </w:p>
        </w:tc>
        <w:tc>
          <w:tcPr>
            <w:tcW w:type="dxa" w:w="1152"/>
          </w:tcPr>
          <w:p>
            <w:r/>
            <w:r>
              <w:rPr>
                <w:rFonts w:ascii="Arial" w:hAnsi="Arial"/>
                <w:b w:val="0"/>
                <w:i w:val="0"/>
                <w:color w:val="000000"/>
                <w:sz w:val="17"/>
              </w:rPr>
              <w:t>C</w:t>
            </w:r>
          </w:p>
        </w:tc>
        <w:tc>
          <w:tcPr>
            <w:tcW w:type="dxa" w:w="1152"/>
          </w:tcPr>
          <w:p>
            <w:r/>
            <w:r>
              <w:rPr>
                <w:rFonts w:ascii="Arial" w:hAnsi="Arial"/>
                <w:b w:val="0"/>
                <w:i w:val="0"/>
                <w:color w:val="000000"/>
                <w:sz w:val="17"/>
              </w:rPr>
            </w:r>
          </w:p>
        </w:tc>
      </w:tr>
      <w:tr>
        <w:tc>
          <w:tcPr>
            <w:tcW w:type="dxa" w:w="2736"/>
          </w:tcPr>
          <w:p>
            <w:r/>
            <w:r>
              <w:rPr>
                <w:rFonts w:ascii="Arial" w:hAnsi="Arial"/>
                <w:b w:val="0"/>
                <w:i w:val="0"/>
                <w:color w:val="000000"/>
                <w:sz w:val="17"/>
              </w:rPr>
              <w:t>Aprobar contrato/OC (según umbral)</w:t>
            </w:r>
          </w:p>
        </w:tc>
        <w:tc>
          <w:tcPr>
            <w:tcW w:type="dxa" w:w="1584"/>
          </w:tcPr>
          <w:p>
            <w:r/>
            <w:r>
              <w:rPr>
                <w:rFonts w:ascii="Arial" w:hAnsi="Arial"/>
                <w:b w:val="0"/>
                <w:i w:val="0"/>
                <w:color w:val="000000"/>
                <w:sz w:val="17"/>
              </w:rPr>
            </w:r>
          </w:p>
        </w:tc>
        <w:tc>
          <w:tcPr>
            <w:tcW w:type="dxa" w:w="1440"/>
          </w:tcPr>
          <w:p>
            <w:r/>
            <w:r>
              <w:rPr>
                <w:rFonts w:ascii="Arial" w:hAnsi="Arial"/>
                <w:b w:val="0"/>
                <w:i w:val="0"/>
                <w:color w:val="000000"/>
                <w:sz w:val="17"/>
              </w:rPr>
              <w:t>C</w:t>
            </w:r>
          </w:p>
        </w:tc>
        <w:tc>
          <w:tcPr>
            <w:tcW w:type="dxa" w:w="1296"/>
          </w:tcPr>
          <w:p>
            <w:r/>
            <w:r>
              <w:rPr>
                <w:rFonts w:ascii="Arial" w:hAnsi="Arial"/>
                <w:b w:val="0"/>
                <w:i w:val="0"/>
                <w:color w:val="000000"/>
                <w:sz w:val="17"/>
              </w:rPr>
              <w:t>R</w:t>
            </w:r>
          </w:p>
        </w:tc>
        <w:tc>
          <w:tcPr>
            <w:tcW w:type="dxa" w:w="1152"/>
          </w:tcPr>
          <w:p>
            <w:r/>
            <w:r>
              <w:rPr>
                <w:rFonts w:ascii="Arial" w:hAnsi="Arial"/>
                <w:b w:val="0"/>
                <w:i w:val="0"/>
                <w:color w:val="000000"/>
                <w:sz w:val="17"/>
              </w:rPr>
              <w:t>A</w:t>
            </w:r>
          </w:p>
        </w:tc>
        <w:tc>
          <w:tcPr>
            <w:tcW w:type="dxa" w:w="1152"/>
          </w:tcPr>
          <w:p>
            <w:r/>
            <w:r>
              <w:rPr>
                <w:rFonts w:ascii="Arial" w:hAnsi="Arial"/>
                <w:b w:val="0"/>
                <w:i w:val="0"/>
                <w:color w:val="000000"/>
                <w:sz w:val="17"/>
              </w:rPr>
              <w:t>I</w:t>
            </w:r>
          </w:p>
        </w:tc>
      </w:tr>
      <w:tr>
        <w:tc>
          <w:tcPr>
            <w:tcW w:type="dxa" w:w="2736"/>
          </w:tcPr>
          <w:p>
            <w:r/>
            <w:r>
              <w:rPr>
                <w:rFonts w:ascii="Arial" w:hAnsi="Arial"/>
                <w:b w:val="0"/>
                <w:i w:val="0"/>
                <w:color w:val="000000"/>
                <w:sz w:val="17"/>
              </w:rPr>
              <w:t>Recibir bien/servicio</w:t>
            </w:r>
          </w:p>
        </w:tc>
        <w:tc>
          <w:tcPr>
            <w:tcW w:type="dxa" w:w="1584"/>
          </w:tcPr>
          <w:p>
            <w:r/>
            <w:r>
              <w:rPr>
                <w:rFonts w:ascii="Arial" w:hAnsi="Arial"/>
                <w:b w:val="0"/>
                <w:i w:val="0"/>
                <w:color w:val="000000"/>
                <w:sz w:val="17"/>
              </w:rPr>
              <w:t>R</w:t>
            </w:r>
          </w:p>
        </w:tc>
        <w:tc>
          <w:tcPr>
            <w:tcW w:type="dxa" w:w="1440"/>
          </w:tcPr>
          <w:p>
            <w:r/>
            <w:r>
              <w:rPr>
                <w:rFonts w:ascii="Arial" w:hAnsi="Arial"/>
                <w:b w:val="0"/>
                <w:i w:val="0"/>
                <w:color w:val="000000"/>
                <w:sz w:val="17"/>
              </w:rPr>
              <w:t>C</w:t>
            </w:r>
          </w:p>
        </w:tc>
        <w:tc>
          <w:tcPr>
            <w:tcW w:type="dxa" w:w="1296"/>
          </w:tcPr>
          <w:p>
            <w:r/>
            <w:r>
              <w:rPr>
                <w:rFonts w:ascii="Arial" w:hAnsi="Arial"/>
                <w:b w:val="0"/>
                <w:i w:val="0"/>
                <w:color w:val="000000"/>
                <w:sz w:val="17"/>
              </w:rPr>
              <w:t>I</w:t>
            </w:r>
          </w:p>
        </w:tc>
        <w:tc>
          <w:tcPr>
            <w:tcW w:type="dxa" w:w="1152"/>
          </w:tcPr>
          <w:p>
            <w:r/>
            <w:r>
              <w:rPr>
                <w:rFonts w:ascii="Arial" w:hAnsi="Arial"/>
                <w:b w:val="0"/>
                <w:i w:val="0"/>
                <w:color w:val="000000"/>
                <w:sz w:val="17"/>
              </w:rPr>
            </w:r>
          </w:p>
        </w:tc>
        <w:tc>
          <w:tcPr>
            <w:tcW w:type="dxa" w:w="1152"/>
          </w:tcPr>
          <w:p>
            <w:r/>
            <w:r>
              <w:rPr>
                <w:rFonts w:ascii="Arial" w:hAnsi="Arial"/>
                <w:b w:val="0"/>
                <w:i w:val="0"/>
                <w:color w:val="000000"/>
                <w:sz w:val="17"/>
              </w:rPr>
            </w:r>
          </w:p>
        </w:tc>
      </w:tr>
      <w:tr>
        <w:tc>
          <w:tcPr>
            <w:tcW w:type="dxa" w:w="2736"/>
          </w:tcPr>
          <w:p>
            <w:r/>
            <w:r>
              <w:rPr>
                <w:rFonts w:ascii="Arial" w:hAnsi="Arial"/>
                <w:b w:val="0"/>
                <w:i w:val="0"/>
                <w:color w:val="000000"/>
                <w:sz w:val="17"/>
              </w:rPr>
              <w:t>Pagar al proveedor</w:t>
            </w:r>
          </w:p>
        </w:tc>
        <w:tc>
          <w:tcPr>
            <w:tcW w:type="dxa" w:w="1584"/>
          </w:tcPr>
          <w:p>
            <w:r/>
            <w:r>
              <w:rPr>
                <w:rFonts w:ascii="Arial" w:hAnsi="Arial"/>
                <w:b w:val="0"/>
                <w:i w:val="0"/>
                <w:color w:val="000000"/>
                <w:sz w:val="17"/>
              </w:rPr>
            </w:r>
          </w:p>
        </w:tc>
        <w:tc>
          <w:tcPr>
            <w:tcW w:type="dxa" w:w="1440"/>
          </w:tcPr>
          <w:p>
            <w:r/>
            <w:r>
              <w:rPr>
                <w:rFonts w:ascii="Arial" w:hAnsi="Arial"/>
                <w:b w:val="0"/>
                <w:i w:val="0"/>
                <w:color w:val="000000"/>
                <w:sz w:val="17"/>
              </w:rPr>
            </w:r>
          </w:p>
        </w:tc>
        <w:tc>
          <w:tcPr>
            <w:tcW w:type="dxa" w:w="1296"/>
          </w:tcPr>
          <w:p>
            <w:r/>
            <w:r>
              <w:rPr>
                <w:rFonts w:ascii="Arial" w:hAnsi="Arial"/>
                <w:b w:val="0"/>
                <w:i w:val="0"/>
                <w:color w:val="000000"/>
                <w:sz w:val="17"/>
              </w:rPr>
              <w:t>I</w:t>
            </w:r>
          </w:p>
        </w:tc>
        <w:tc>
          <w:tcPr>
            <w:tcW w:type="dxa" w:w="1152"/>
          </w:tcPr>
          <w:p>
            <w:r/>
            <w:r>
              <w:rPr>
                <w:rFonts w:ascii="Arial" w:hAnsi="Arial"/>
                <w:b w:val="0"/>
                <w:i w:val="0"/>
                <w:color w:val="000000"/>
                <w:sz w:val="17"/>
              </w:rPr>
              <w:t>C</w:t>
            </w:r>
          </w:p>
        </w:tc>
        <w:tc>
          <w:tcPr>
            <w:tcW w:type="dxa" w:w="1152"/>
          </w:tcPr>
          <w:p>
            <w:r/>
            <w:r>
              <w:rPr>
                <w:rFonts w:ascii="Arial" w:hAnsi="Arial"/>
                <w:b w:val="0"/>
                <w:i w:val="0"/>
                <w:color w:val="000000"/>
                <w:sz w:val="17"/>
              </w:rPr>
              <w:t>R/A</w:t>
            </w:r>
          </w:p>
        </w:tc>
      </w:tr>
    </w:tbl>
    <w:p>
      <w:pPr>
        <w:spacing w:after="40"/>
      </w:pPr>
    </w:p>
    <w:p>
      <w:pPr>
        <w:spacing w:after="160"/>
        <w:jc w:val="left"/>
      </w:pPr>
      <w:r>
        <w:rPr>
          <w:rFonts w:ascii="Arial" w:hAnsi="Arial"/>
          <w:b w:val="0"/>
          <w:i/>
          <w:color w:val="000000"/>
          <w:sz w:val="18"/>
        </w:rPr>
        <w:t>Nota. Elaboración propia.</w:t>
      </w:r>
    </w:p>
    <w:p>
      <w:pPr>
        <w:keepNext/>
        <w:spacing w:before="160" w:after="60"/>
      </w:pPr>
      <w:r>
        <w:rPr>
          <w:rFonts w:ascii="Arial" w:hAnsi="Arial"/>
          <w:b/>
          <w:i w:val="0"/>
          <w:color w:val="000000"/>
          <w:sz w:val="22"/>
        </w:rPr>
        <w:t>Umbrales de aprobación</w:t>
      </w:r>
    </w:p>
    <w:p>
      <w:pPr>
        <w:jc w:val="both"/>
      </w:pPr>
      <w:r>
        <w:rPr>
          <w:rFonts w:ascii="Arial" w:hAnsi="Arial"/>
          <w:b w:val="0"/>
          <w:i w:val="0"/>
          <w:color w:val="000000"/>
          <w:sz w:val="22"/>
        </w:rPr>
        <w:t>Defino umbrales para que el nivel de aprobación dependa del monto, de modo que las compras pequeñas fluyan rápido y las grandes tengan más control (ver Tabla 8).</w:t>
      </w:r>
    </w:p>
    <w:p>
      <w:pPr>
        <w:spacing w:before="120" w:after="0"/>
      </w:pPr>
      <w:r>
        <w:rPr>
          <w:rFonts w:ascii="Arial" w:hAnsi="Arial"/>
          <w:b/>
          <w:i w:val="0"/>
          <w:color w:val="000000"/>
          <w:sz w:val="20"/>
        </w:rPr>
        <w:t>Tabla 8</w:t>
      </w:r>
    </w:p>
    <w:p>
      <w:pPr>
        <w:spacing w:after="160"/>
        <w:jc w:val="left"/>
      </w:pPr>
      <w:r>
        <w:rPr>
          <w:rFonts w:ascii="Arial" w:hAnsi="Arial"/>
          <w:b w:val="0"/>
          <w:i/>
          <w:color w:val="000000"/>
          <w:sz w:val="18"/>
        </w:rPr>
        <w:t>Umbrales de aprobación propuestos (montos ilustrativos)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D9D9"/>
          </w:tcPr>
          <w:p>
            <w:r/>
            <w:r>
              <w:rPr>
                <w:rFonts w:ascii="Arial" w:hAnsi="Arial"/>
                <w:b/>
                <w:i w:val="0"/>
                <w:color w:val="000000"/>
                <w:sz w:val="18"/>
              </w:rPr>
              <w:t>Rango de la compra</w:t>
            </w:r>
          </w:p>
        </w:tc>
        <w:tc>
          <w:tcPr>
            <w:tcW w:type="dxa" w:w="3600"/>
            <w:shd w:val="clear" w:color="auto" w:fill="D9D9D9"/>
          </w:tcPr>
          <w:p>
            <w:r/>
            <w:r>
              <w:rPr>
                <w:rFonts w:ascii="Arial" w:hAnsi="Arial"/>
                <w:b/>
                <w:i w:val="0"/>
                <w:color w:val="000000"/>
                <w:sz w:val="18"/>
              </w:rPr>
              <w:t>Aprobación requerida</w:t>
            </w:r>
          </w:p>
        </w:tc>
        <w:tc>
          <w:tcPr>
            <w:tcW w:type="dxa" w:w="2592"/>
            <w:shd w:val="clear" w:color="auto" w:fill="D9D9D9"/>
          </w:tcPr>
          <w:p>
            <w:r/>
            <w:r>
              <w:rPr>
                <w:rFonts w:ascii="Arial" w:hAnsi="Arial"/>
                <w:b/>
                <w:i w:val="0"/>
                <w:color w:val="000000"/>
                <w:sz w:val="18"/>
              </w:rPr>
              <w:t>Requisito mínimo</w:t>
            </w:r>
          </w:p>
        </w:tc>
      </w:tr>
      <w:tr>
        <w:tc>
          <w:tcPr>
            <w:tcW w:type="dxa" w:w="2592"/>
          </w:tcPr>
          <w:p>
            <w:r/>
            <w:r>
              <w:rPr>
                <w:rFonts w:ascii="Arial" w:hAnsi="Arial"/>
                <w:b w:val="0"/>
                <w:i w:val="0"/>
                <w:color w:val="000000"/>
                <w:sz w:val="18"/>
              </w:rPr>
              <w:t>Hasta $10 MM</w:t>
            </w:r>
          </w:p>
        </w:tc>
        <w:tc>
          <w:tcPr>
            <w:tcW w:type="dxa" w:w="3600"/>
          </w:tcPr>
          <w:p>
            <w:r/>
            <w:r>
              <w:rPr>
                <w:rFonts w:ascii="Arial" w:hAnsi="Arial"/>
                <w:b w:val="0"/>
                <w:i w:val="0"/>
                <w:color w:val="000000"/>
                <w:sz w:val="18"/>
              </w:rPr>
              <w:t>Jefe de abastecimiento</w:t>
            </w:r>
          </w:p>
        </w:tc>
        <w:tc>
          <w:tcPr>
            <w:tcW w:type="dxa" w:w="2592"/>
          </w:tcPr>
          <w:p>
            <w:r/>
            <w:r>
              <w:rPr>
                <w:rFonts w:ascii="Arial" w:hAnsi="Arial"/>
                <w:b w:val="0"/>
                <w:i w:val="0"/>
                <w:color w:val="000000"/>
                <w:sz w:val="18"/>
              </w:rPr>
              <w:t>1 cotización</w:t>
            </w:r>
          </w:p>
        </w:tc>
      </w:tr>
      <w:tr>
        <w:tc>
          <w:tcPr>
            <w:tcW w:type="dxa" w:w="2592"/>
          </w:tcPr>
          <w:p>
            <w:r/>
            <w:r>
              <w:rPr>
                <w:rFonts w:ascii="Arial" w:hAnsi="Arial"/>
                <w:b w:val="0"/>
                <w:i w:val="0"/>
                <w:color w:val="000000"/>
                <w:sz w:val="18"/>
              </w:rPr>
              <w:t>$10 MM – $50 MM</w:t>
            </w:r>
          </w:p>
        </w:tc>
        <w:tc>
          <w:tcPr>
            <w:tcW w:type="dxa" w:w="3600"/>
          </w:tcPr>
          <w:p>
            <w:r/>
            <w:r>
              <w:rPr>
                <w:rFonts w:ascii="Arial" w:hAnsi="Arial"/>
                <w:b w:val="0"/>
                <w:i w:val="0"/>
                <w:color w:val="000000"/>
                <w:sz w:val="18"/>
              </w:rPr>
              <w:t>Jefe de abastecimiento + Gerencia de proyecto</w:t>
            </w:r>
          </w:p>
        </w:tc>
        <w:tc>
          <w:tcPr>
            <w:tcW w:type="dxa" w:w="2592"/>
          </w:tcPr>
          <w:p>
            <w:r/>
            <w:r>
              <w:rPr>
                <w:rFonts w:ascii="Arial" w:hAnsi="Arial"/>
                <w:b w:val="0"/>
                <w:i w:val="0"/>
                <w:color w:val="000000"/>
                <w:sz w:val="18"/>
              </w:rPr>
              <w:t>Mínimo 3 cotizaciones</w:t>
            </w:r>
          </w:p>
        </w:tc>
      </w:tr>
      <w:tr>
        <w:tc>
          <w:tcPr>
            <w:tcW w:type="dxa" w:w="2592"/>
          </w:tcPr>
          <w:p>
            <w:r/>
            <w:r>
              <w:rPr>
                <w:rFonts w:ascii="Arial" w:hAnsi="Arial"/>
                <w:b w:val="0"/>
                <w:i w:val="0"/>
                <w:color w:val="000000"/>
                <w:sz w:val="18"/>
              </w:rPr>
              <w:t>$50 MM – $200 MM</w:t>
            </w:r>
          </w:p>
        </w:tc>
        <w:tc>
          <w:tcPr>
            <w:tcW w:type="dxa" w:w="3600"/>
          </w:tcPr>
          <w:p>
            <w:r/>
            <w:r>
              <w:rPr>
                <w:rFonts w:ascii="Arial" w:hAnsi="Arial"/>
                <w:b w:val="0"/>
                <w:i w:val="0"/>
                <w:color w:val="000000"/>
                <w:sz w:val="18"/>
              </w:rPr>
              <w:t>Gerencia general</w:t>
            </w:r>
          </w:p>
        </w:tc>
        <w:tc>
          <w:tcPr>
            <w:tcW w:type="dxa" w:w="2592"/>
          </w:tcPr>
          <w:p>
            <w:r/>
            <w:r>
              <w:rPr>
                <w:rFonts w:ascii="Arial" w:hAnsi="Arial"/>
                <w:b w:val="0"/>
                <w:i w:val="0"/>
                <w:color w:val="000000"/>
                <w:sz w:val="18"/>
              </w:rPr>
              <w:t>Comité de compras + evaluación</w:t>
            </w:r>
          </w:p>
        </w:tc>
      </w:tr>
      <w:tr>
        <w:tc>
          <w:tcPr>
            <w:tcW w:type="dxa" w:w="2592"/>
          </w:tcPr>
          <w:p>
            <w:r/>
            <w:r>
              <w:rPr>
                <w:rFonts w:ascii="Arial" w:hAnsi="Arial"/>
                <w:b w:val="0"/>
                <w:i w:val="0"/>
                <w:color w:val="000000"/>
                <w:sz w:val="18"/>
              </w:rPr>
              <w:t>Más de $200 MM</w:t>
            </w:r>
          </w:p>
        </w:tc>
        <w:tc>
          <w:tcPr>
            <w:tcW w:type="dxa" w:w="3600"/>
          </w:tcPr>
          <w:p>
            <w:r/>
            <w:r>
              <w:rPr>
                <w:rFonts w:ascii="Arial" w:hAnsi="Arial"/>
                <w:b w:val="0"/>
                <w:i w:val="0"/>
                <w:color w:val="000000"/>
                <w:sz w:val="18"/>
              </w:rPr>
              <w:t>Comité directivo / Junta</w:t>
            </w:r>
          </w:p>
        </w:tc>
        <w:tc>
          <w:tcPr>
            <w:tcW w:type="dxa" w:w="2592"/>
          </w:tcPr>
          <w:p>
            <w:r/>
            <w:r>
              <w:rPr>
                <w:rFonts w:ascii="Arial" w:hAnsi="Arial"/>
                <w:b w:val="0"/>
                <w:i w:val="0"/>
                <w:color w:val="000000"/>
                <w:sz w:val="18"/>
              </w:rPr>
              <w:t>Proceso formal y contrato</w:t>
            </w:r>
          </w:p>
        </w:tc>
      </w:tr>
    </w:tbl>
    <w:p>
      <w:pPr>
        <w:spacing w:after="40"/>
      </w:pPr>
    </w:p>
    <w:p>
      <w:pPr>
        <w:spacing w:after="160"/>
        <w:jc w:val="left"/>
      </w:pPr>
      <w:r>
        <w:rPr>
          <w:rFonts w:ascii="Arial" w:hAnsi="Arial"/>
          <w:b w:val="0"/>
          <w:i/>
          <w:color w:val="000000"/>
          <w:sz w:val="18"/>
        </w:rPr>
        <w:t>Nota. Montos ilustrativos con fines académicos.</w:t>
      </w:r>
    </w:p>
    <w:p>
      <w:pPr>
        <w:keepNext/>
        <w:spacing w:before="160" w:after="60"/>
      </w:pPr>
      <w:r>
        <w:rPr>
          <w:rFonts w:ascii="Arial" w:hAnsi="Arial"/>
          <w:b/>
          <w:i w:val="0"/>
          <w:color w:val="000000"/>
          <w:sz w:val="22"/>
        </w:rPr>
        <w:t>Controles internos recomendados</w:t>
      </w:r>
    </w:p>
    <w:p>
      <w:pPr>
        <w:pStyle w:val="ListBullet"/>
        <w:jc w:val="both"/>
      </w:pPr>
      <w:r>
        <w:rPr>
          <w:rFonts w:ascii="Arial" w:hAnsi="Arial"/>
          <w:b w:val="0"/>
          <w:i w:val="0"/>
          <w:color w:val="000000"/>
          <w:sz w:val="22"/>
        </w:rPr>
        <w:t>Segregación de funciones: que quien pide no sea quien aprueba ni quien paga.</w:t>
      </w:r>
    </w:p>
    <w:p>
      <w:pPr>
        <w:pStyle w:val="ListBullet"/>
        <w:jc w:val="both"/>
      </w:pPr>
      <w:r>
        <w:rPr>
          <w:rFonts w:ascii="Arial" w:hAnsi="Arial"/>
          <w:b w:val="0"/>
          <w:i w:val="0"/>
          <w:color w:val="000000"/>
          <w:sz w:val="22"/>
        </w:rPr>
        <w:t>Exigir mínimo tres cotizaciones a partir de cierto monto y dejar registro de la comparación.</w:t>
      </w:r>
    </w:p>
    <w:p>
      <w:pPr>
        <w:pStyle w:val="ListBullet"/>
        <w:jc w:val="both"/>
      </w:pPr>
      <w:r>
        <w:rPr>
          <w:rFonts w:ascii="Arial" w:hAnsi="Arial"/>
          <w:b w:val="0"/>
          <w:i w:val="0"/>
          <w:color w:val="000000"/>
          <w:sz w:val="22"/>
        </w:rPr>
        <w:t>Uso de contratos marco y catálogos para reducir el maverick spend.</w:t>
      </w:r>
    </w:p>
    <w:p>
      <w:pPr>
        <w:pStyle w:val="ListBullet"/>
        <w:jc w:val="both"/>
      </w:pPr>
      <w:r>
        <w:rPr>
          <w:rFonts w:ascii="Arial" w:hAnsi="Arial"/>
          <w:b w:val="0"/>
          <w:i w:val="0"/>
          <w:color w:val="000000"/>
          <w:sz w:val="22"/>
        </w:rPr>
        <w:t>Registro y trazabilidad de todo el ciclo en una herramienta (aunque sea básica al principio).</w:t>
      </w:r>
    </w:p>
    <w:p>
      <w:pPr>
        <w:pStyle w:val="ListBullet"/>
        <w:jc w:val="both"/>
      </w:pPr>
      <w:r>
        <w:rPr>
          <w:rFonts w:ascii="Arial" w:hAnsi="Arial"/>
          <w:b w:val="0"/>
          <w:i w:val="0"/>
          <w:color w:val="000000"/>
          <w:sz w:val="22"/>
        </w:rPr>
        <w:t>Declaración de conflictos de interés y rotación/revisión de proveedores para prevenir colusión.</w:t>
      </w:r>
    </w:p>
    <w:p>
      <w:pPr>
        <w:keepNext/>
        <w:spacing w:before="280" w:after="120"/>
        <w:jc w:val="center"/>
      </w:pPr>
      <w:r>
        <w:rPr>
          <w:rFonts w:ascii="Arial" w:hAnsi="Arial"/>
          <w:b/>
          <w:i w:val="0"/>
          <w:color w:val="000000"/>
          <w:sz w:val="24"/>
        </w:rPr>
        <w:t>8. Plan de transformación estratégica (12 meses)</w:t>
      </w:r>
    </w:p>
    <w:p>
      <w:pPr>
        <w:jc w:val="both"/>
      </w:pPr>
      <w:r>
        <w:rPr>
          <w:rFonts w:ascii="Arial" w:hAnsi="Arial"/>
          <w:b w:val="0"/>
          <w:i w:val="0"/>
          <w:color w:val="000000"/>
          <w:sz w:val="22"/>
        </w:rPr>
        <w:t>Propongo un plan a 12 meses organizado en tres fases, pensando en que Evolti tiene un equipo pequeño y no puede hacer todo de una vez. La lógica es primero ordenar los datos, luego negociar donde más impacta y por último consolidar el gobierno y la sostenibilidad (ver Tabla 9).</w:t>
      </w:r>
    </w:p>
    <w:p>
      <w:pPr>
        <w:spacing w:before="120" w:after="0"/>
      </w:pPr>
      <w:r>
        <w:rPr>
          <w:rFonts w:ascii="Arial" w:hAnsi="Arial"/>
          <w:b/>
          <w:i w:val="0"/>
          <w:color w:val="000000"/>
          <w:sz w:val="20"/>
        </w:rPr>
        <w:t>Tabla 9</w:t>
      </w:r>
    </w:p>
    <w:p>
      <w:pPr>
        <w:spacing w:after="160"/>
        <w:jc w:val="left"/>
      </w:pPr>
      <w:r>
        <w:rPr>
          <w:rFonts w:ascii="Arial" w:hAnsi="Arial"/>
          <w:b w:val="0"/>
          <w:i/>
          <w:color w:val="000000"/>
          <w:sz w:val="18"/>
        </w:rPr>
        <w:t>Plan de transformación a 12 meses para Evolti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D9D9D9"/>
          </w:tcPr>
          <w:p>
            <w:r/>
            <w:r>
              <w:rPr>
                <w:rFonts w:ascii="Arial" w:hAnsi="Arial"/>
                <w:b/>
                <w:i w:val="0"/>
                <w:color w:val="000000"/>
                <w:sz w:val="16"/>
              </w:rPr>
              <w:t>Fase / Objetivo</w:t>
            </w:r>
          </w:p>
        </w:tc>
        <w:tc>
          <w:tcPr>
            <w:tcW w:type="dxa" w:w="2736"/>
            <w:shd w:val="clear" w:color="auto" w:fill="D9D9D9"/>
          </w:tcPr>
          <w:p>
            <w:r/>
            <w:r>
              <w:rPr>
                <w:rFonts w:ascii="Arial" w:hAnsi="Arial"/>
                <w:b/>
                <w:i w:val="0"/>
                <w:color w:val="000000"/>
                <w:sz w:val="16"/>
              </w:rPr>
              <w:t>Acciones principales</w:t>
            </w:r>
          </w:p>
        </w:tc>
        <w:tc>
          <w:tcPr>
            <w:tcW w:type="dxa" w:w="1440"/>
            <w:shd w:val="clear" w:color="auto" w:fill="D9D9D9"/>
          </w:tcPr>
          <w:p>
            <w:r/>
            <w:r>
              <w:rPr>
                <w:rFonts w:ascii="Arial" w:hAnsi="Arial"/>
                <w:b/>
                <w:i w:val="0"/>
                <w:color w:val="000000"/>
                <w:sz w:val="16"/>
              </w:rPr>
              <w:t>Responsable</w:t>
            </w:r>
          </w:p>
        </w:tc>
        <w:tc>
          <w:tcPr>
            <w:tcW w:type="dxa" w:w="1728"/>
            <w:shd w:val="clear" w:color="auto" w:fill="D9D9D9"/>
          </w:tcPr>
          <w:p>
            <w:r/>
            <w:r>
              <w:rPr>
                <w:rFonts w:ascii="Arial" w:hAnsi="Arial"/>
                <w:b/>
                <w:i w:val="0"/>
                <w:color w:val="000000"/>
                <w:sz w:val="16"/>
              </w:rPr>
              <w:t>Indicador</w:t>
            </w:r>
          </w:p>
        </w:tc>
        <w:tc>
          <w:tcPr>
            <w:tcW w:type="dxa" w:w="2160"/>
            <w:shd w:val="clear" w:color="auto" w:fill="D9D9D9"/>
          </w:tcPr>
          <w:p>
            <w:r/>
            <w:r>
              <w:rPr>
                <w:rFonts w:ascii="Arial" w:hAnsi="Arial"/>
                <w:b/>
                <w:i w:val="0"/>
                <w:color w:val="000000"/>
                <w:sz w:val="16"/>
              </w:rPr>
              <w:t>Beneficio esperado</w:t>
            </w:r>
          </w:p>
        </w:tc>
      </w:tr>
      <w:tr>
        <w:tc>
          <w:tcPr>
            <w:tcW w:type="dxa" w:w="2160"/>
          </w:tcPr>
          <w:p>
            <w:r/>
            <w:r>
              <w:rPr>
                <w:rFonts w:ascii="Arial" w:hAnsi="Arial"/>
                <w:b w:val="0"/>
                <w:i w:val="0"/>
                <w:color w:val="000000"/>
                <w:sz w:val="16"/>
              </w:rPr>
              <w:t>Fase 1 (meses 1–3):</w:t>
              <w:br/>
              <w:t>Ordenar los datos y el gasto</w:t>
            </w:r>
          </w:p>
        </w:tc>
        <w:tc>
          <w:tcPr>
            <w:tcW w:type="dxa" w:w="2736"/>
          </w:tcPr>
          <w:p>
            <w:r/>
            <w:r>
              <w:rPr>
                <w:rFonts w:ascii="Arial" w:hAnsi="Arial"/>
                <w:b w:val="0"/>
                <w:i w:val="0"/>
                <w:color w:val="000000"/>
                <w:sz w:val="16"/>
              </w:rPr>
              <w:t>Consolidar y limpiar la base de gasto; construir el árbol de categorías y el cubo; hacer el Pareto.</w:t>
            </w:r>
          </w:p>
        </w:tc>
        <w:tc>
          <w:tcPr>
            <w:tcW w:type="dxa" w:w="1440"/>
          </w:tcPr>
          <w:p>
            <w:r/>
            <w:r>
              <w:rPr>
                <w:rFonts w:ascii="Arial" w:hAnsi="Arial"/>
                <w:b w:val="0"/>
                <w:i w:val="0"/>
                <w:color w:val="000000"/>
                <w:sz w:val="16"/>
              </w:rPr>
              <w:t>Analista de compras + TI</w:t>
            </w:r>
          </w:p>
        </w:tc>
        <w:tc>
          <w:tcPr>
            <w:tcW w:type="dxa" w:w="1728"/>
          </w:tcPr>
          <w:p>
            <w:r/>
            <w:r>
              <w:rPr>
                <w:rFonts w:ascii="Arial" w:hAnsi="Arial"/>
                <w:b w:val="0"/>
                <w:i w:val="0"/>
                <w:color w:val="000000"/>
                <w:sz w:val="16"/>
              </w:rPr>
              <w:t>Base de gasto lista; % de datos limpios</w:t>
            </w:r>
          </w:p>
        </w:tc>
        <w:tc>
          <w:tcPr>
            <w:tcW w:type="dxa" w:w="2160"/>
          </w:tcPr>
          <w:p>
            <w:r/>
            <w:r>
              <w:rPr>
                <w:rFonts w:ascii="Arial" w:hAnsi="Arial"/>
                <w:b w:val="0"/>
                <w:i w:val="0"/>
                <w:color w:val="000000"/>
                <w:sz w:val="16"/>
              </w:rPr>
              <w:t>Visibilidad real del gasto para decidir con evidencia.</w:t>
            </w:r>
          </w:p>
        </w:tc>
      </w:tr>
      <w:tr>
        <w:tc>
          <w:tcPr>
            <w:tcW w:type="dxa" w:w="2160"/>
          </w:tcPr>
          <w:p>
            <w:r/>
            <w:r>
              <w:rPr>
                <w:rFonts w:ascii="Arial" w:hAnsi="Arial"/>
                <w:b w:val="0"/>
                <w:i w:val="0"/>
                <w:color w:val="000000"/>
                <w:sz w:val="16"/>
              </w:rPr>
              <w:t>Fase 2 (meses 4–8):</w:t>
              <w:br/>
              <w:t>Negociar categorías clave</w:t>
            </w:r>
          </w:p>
        </w:tc>
        <w:tc>
          <w:tcPr>
            <w:tcW w:type="dxa" w:w="2736"/>
          </w:tcPr>
          <w:p>
            <w:r/>
            <w:r>
              <w:rPr>
                <w:rFonts w:ascii="Arial" w:hAnsi="Arial"/>
                <w:b w:val="0"/>
                <w:i w:val="0"/>
                <w:color w:val="000000"/>
                <w:sz w:val="16"/>
              </w:rPr>
              <w:t>Contratos marco para paneles e inversores; dual sourcing; licitar estructuras y obra civil.</w:t>
            </w:r>
          </w:p>
        </w:tc>
        <w:tc>
          <w:tcPr>
            <w:tcW w:type="dxa" w:w="1440"/>
          </w:tcPr>
          <w:p>
            <w:r/>
            <w:r>
              <w:rPr>
                <w:rFonts w:ascii="Arial" w:hAnsi="Arial"/>
                <w:b w:val="0"/>
                <w:i w:val="0"/>
                <w:color w:val="000000"/>
                <w:sz w:val="16"/>
              </w:rPr>
              <w:t>Jefe de abastecimiento</w:t>
            </w:r>
          </w:p>
        </w:tc>
        <w:tc>
          <w:tcPr>
            <w:tcW w:type="dxa" w:w="1728"/>
          </w:tcPr>
          <w:p>
            <w:r/>
            <w:r>
              <w:rPr>
                <w:rFonts w:ascii="Arial" w:hAnsi="Arial"/>
                <w:b w:val="0"/>
                <w:i w:val="0"/>
                <w:color w:val="000000"/>
                <w:sz w:val="16"/>
              </w:rPr>
              <w:t>% gasto bajo contrato; ahorro vs. línea base; OTD</w:t>
            </w:r>
          </w:p>
        </w:tc>
        <w:tc>
          <w:tcPr>
            <w:tcW w:type="dxa" w:w="2160"/>
          </w:tcPr>
          <w:p>
            <w:r/>
            <w:r>
              <w:rPr>
                <w:rFonts w:ascii="Arial" w:hAnsi="Arial"/>
                <w:b w:val="0"/>
                <w:i w:val="0"/>
                <w:color w:val="000000"/>
                <w:sz w:val="16"/>
              </w:rPr>
              <w:t>Ahorros del 8–12 % sobre el gasto impactado y menos urgencias.</w:t>
            </w:r>
          </w:p>
        </w:tc>
      </w:tr>
      <w:tr>
        <w:tc>
          <w:tcPr>
            <w:tcW w:type="dxa" w:w="2160"/>
          </w:tcPr>
          <w:p>
            <w:r/>
            <w:r>
              <w:rPr>
                <w:rFonts w:ascii="Arial" w:hAnsi="Arial"/>
                <w:b w:val="0"/>
                <w:i w:val="0"/>
                <w:color w:val="000000"/>
                <w:sz w:val="16"/>
              </w:rPr>
              <w:t>Fase 3 (meses 9–12):</w:t>
              <w:br/>
              <w:t>Gobierno, KPIs y sostenibilidad</w:t>
            </w:r>
          </w:p>
        </w:tc>
        <w:tc>
          <w:tcPr>
            <w:tcW w:type="dxa" w:w="2736"/>
          </w:tcPr>
          <w:p>
            <w:r/>
            <w:r>
              <w:rPr>
                <w:rFonts w:ascii="Arial" w:hAnsi="Arial"/>
                <w:b w:val="0"/>
                <w:i w:val="0"/>
                <w:color w:val="000000"/>
                <w:sz w:val="16"/>
              </w:rPr>
              <w:t>Formalizar política y RACI; implementar umbrales; tablero de KPIs; criterios ESG (ISO 20400).</w:t>
            </w:r>
          </w:p>
        </w:tc>
        <w:tc>
          <w:tcPr>
            <w:tcW w:type="dxa" w:w="1440"/>
          </w:tcPr>
          <w:p>
            <w:r/>
            <w:r>
              <w:rPr>
                <w:rFonts w:ascii="Arial" w:hAnsi="Arial"/>
                <w:b w:val="0"/>
                <w:i w:val="0"/>
                <w:color w:val="000000"/>
                <w:sz w:val="16"/>
              </w:rPr>
              <w:t>Gerencia + Compras</w:t>
            </w:r>
          </w:p>
        </w:tc>
        <w:tc>
          <w:tcPr>
            <w:tcW w:type="dxa" w:w="1728"/>
          </w:tcPr>
          <w:p>
            <w:r/>
            <w:r>
              <w:rPr>
                <w:rFonts w:ascii="Arial" w:hAnsi="Arial"/>
                <w:b w:val="0"/>
                <w:i w:val="0"/>
                <w:color w:val="000000"/>
                <w:sz w:val="16"/>
              </w:rPr>
              <w:t>% críticos con plan; % compras sostenibles</w:t>
            </w:r>
          </w:p>
        </w:tc>
        <w:tc>
          <w:tcPr>
            <w:tcW w:type="dxa" w:w="2160"/>
          </w:tcPr>
          <w:p>
            <w:r/>
            <w:r>
              <w:rPr>
                <w:rFonts w:ascii="Arial" w:hAnsi="Arial"/>
                <w:b w:val="0"/>
                <w:i w:val="0"/>
                <w:color w:val="000000"/>
                <w:sz w:val="16"/>
              </w:rPr>
              <w:t>Proceso controlado, medible y alineado a la estrategia.</w:t>
            </w:r>
          </w:p>
        </w:tc>
      </w:tr>
    </w:tbl>
    <w:p>
      <w:pPr>
        <w:spacing w:after="40"/>
      </w:pPr>
    </w:p>
    <w:p>
      <w:pPr>
        <w:spacing w:after="160"/>
        <w:jc w:val="left"/>
      </w:pPr>
      <w:r>
        <w:rPr>
          <w:rFonts w:ascii="Arial" w:hAnsi="Arial"/>
          <w:b w:val="0"/>
          <w:i/>
          <w:color w:val="000000"/>
          <w:sz w:val="18"/>
        </w:rPr>
        <w:t>Nota. Elaboración propia.</w:t>
      </w:r>
    </w:p>
    <w:p>
      <w:pPr>
        <w:keepNext/>
        <w:spacing w:before="160" w:after="60"/>
      </w:pPr>
      <w:r>
        <w:rPr>
          <w:rFonts w:ascii="Arial" w:hAnsi="Arial"/>
          <w:b/>
          <w:i w:val="0"/>
          <w:color w:val="000000"/>
          <w:sz w:val="22"/>
        </w:rPr>
        <w:t>Riesgos del cambio</w:t>
      </w:r>
    </w:p>
    <w:p>
      <w:pPr>
        <w:pStyle w:val="ListBullet"/>
        <w:jc w:val="both"/>
      </w:pPr>
      <w:r>
        <w:rPr>
          <w:rFonts w:ascii="Arial" w:hAnsi="Arial"/>
          <w:b w:val="0"/>
          <w:i w:val="0"/>
          <w:color w:val="000000"/>
          <w:sz w:val="22"/>
        </w:rPr>
        <w:t>Resistencia de los equipos de obra a seguir el nuevo proceso si lo ven como “más trámite”.</w:t>
      </w:r>
    </w:p>
    <w:p>
      <w:pPr>
        <w:pStyle w:val="ListBullet"/>
        <w:jc w:val="both"/>
      </w:pPr>
      <w:r>
        <w:rPr>
          <w:rFonts w:ascii="Arial" w:hAnsi="Arial"/>
          <w:b w:val="0"/>
          <w:i w:val="0"/>
          <w:color w:val="000000"/>
          <w:sz w:val="22"/>
        </w:rPr>
        <w:t>Falta de tiempo del equipo de compras para el análisis mientras siguen las tareas del día a día.</w:t>
      </w:r>
    </w:p>
    <w:p>
      <w:pPr>
        <w:pStyle w:val="ListBullet"/>
        <w:jc w:val="both"/>
      </w:pPr>
      <w:r>
        <w:rPr>
          <w:rFonts w:ascii="Arial" w:hAnsi="Arial"/>
          <w:b w:val="0"/>
          <w:i w:val="0"/>
          <w:color w:val="000000"/>
          <w:sz w:val="22"/>
        </w:rPr>
        <w:t>Calidad de los datos: si la base no se limpia bien, el análisis pierde credibilidad.</w:t>
      </w:r>
    </w:p>
    <w:p>
      <w:pPr>
        <w:pStyle w:val="ListBullet"/>
        <w:jc w:val="both"/>
      </w:pPr>
      <w:r>
        <w:rPr>
          <w:rFonts w:ascii="Arial" w:hAnsi="Arial"/>
          <w:b w:val="0"/>
          <w:i w:val="0"/>
          <w:color w:val="000000"/>
          <w:sz w:val="22"/>
        </w:rPr>
        <w:t>Que se busque solo el ahorro y se sacrifique la continuidad o la calidad (un riesgo que el módulo advierte).</w:t>
      </w:r>
    </w:p>
    <w:p>
      <w:pPr>
        <w:jc w:val="both"/>
      </w:pPr>
      <w:r>
        <w:rPr>
          <w:rFonts w:ascii="Arial" w:hAnsi="Arial"/>
          <w:b w:val="0"/>
          <w:i w:val="0"/>
          <w:color w:val="000000"/>
          <w:sz w:val="22"/>
        </w:rPr>
        <w:t>Para mitigarlos propongo empezar por victorias tempranas (quick wins) que muestren beneficios rápidos, comunicar bien el porqué del cambio y apoyarse en la gerencia como patrocinadora.</w:t>
      </w:r>
    </w:p>
    <w:p>
      <w:pPr>
        <w:keepNext/>
        <w:spacing w:before="280" w:after="120"/>
        <w:jc w:val="center"/>
      </w:pPr>
      <w:r>
        <w:rPr>
          <w:rFonts w:ascii="Arial" w:hAnsi="Arial"/>
          <w:b/>
          <w:i w:val="0"/>
          <w:color w:val="000000"/>
          <w:sz w:val="24"/>
        </w:rPr>
        <w:t>9. Conclusiones estratégicas</w:t>
      </w:r>
    </w:p>
    <w:p>
      <w:pPr>
        <w:keepNext/>
        <w:spacing w:before="160" w:after="60"/>
      </w:pPr>
      <w:r>
        <w:rPr>
          <w:rFonts w:ascii="Arial" w:hAnsi="Arial"/>
          <w:b/>
          <w:i w:val="0"/>
          <w:color w:val="000000"/>
          <w:sz w:val="22"/>
        </w:rPr>
        <w:t>¿Cómo pasa Evolti de compras tácticas a procurement estratégico?</w:t>
      </w:r>
    </w:p>
    <w:p>
      <w:pPr>
        <w:jc w:val="both"/>
      </w:pPr>
      <w:r>
        <w:rPr>
          <w:rFonts w:ascii="Arial" w:hAnsi="Arial"/>
          <w:b w:val="0"/>
          <w:i w:val="0"/>
          <w:color w:val="000000"/>
          <w:sz w:val="22"/>
        </w:rPr>
        <w:t>Según lo que aprendí en el módulo, una organización pasa de lo táctico a lo estratégico cuando tiene datos confiables, estructura (árbol y cubo), foco (Pareto), un alcance real (gasto impactado), validación por hipótesis antes de prometer ahorros, mecanismos de compra adecuados y control con precios de referencia y KPIs. Evolti puede recorrer ese camino con el plan de 12 meses: primero ordenando la información, luego segmentando el gasto y negociando de forma diferenciada según Kraljic, y finalmente institucionalizando el gobierno de compras y la medición. En otras palabras, se trata de que compras deje de “apagar incendios” y empiece a planificar.</w:t>
      </w:r>
    </w:p>
    <w:p>
      <w:pPr>
        <w:keepNext/>
        <w:spacing w:before="160" w:after="60"/>
      </w:pPr>
      <w:r>
        <w:rPr>
          <w:rFonts w:ascii="Arial" w:hAnsi="Arial"/>
          <w:b/>
          <w:i w:val="0"/>
          <w:color w:val="000000"/>
          <w:sz w:val="22"/>
        </w:rPr>
        <w:t>¿Qué impacto tendría sobre costos, riesgos y competitividad?</w:t>
      </w:r>
    </w:p>
    <w:p>
      <w:pPr>
        <w:pStyle w:val="ListBullet"/>
        <w:jc w:val="both"/>
      </w:pPr>
      <w:r>
        <w:rPr>
          <w:rFonts w:ascii="Arial" w:hAnsi="Arial"/>
          <w:b w:val="0"/>
          <w:i w:val="0"/>
          <w:color w:val="000000"/>
          <w:sz w:val="22"/>
        </w:rPr>
        <w:t>Costos: ahorros estimados del 8–12 % sobre el gasto impactado en las categorías clave, además de menos sobrecostos por compras urgentes y penalidades.</w:t>
      </w:r>
    </w:p>
    <w:p>
      <w:pPr>
        <w:pStyle w:val="ListBullet"/>
        <w:jc w:val="both"/>
      </w:pPr>
      <w:r>
        <w:rPr>
          <w:rFonts w:ascii="Arial" w:hAnsi="Arial"/>
          <w:b w:val="0"/>
          <w:i w:val="0"/>
          <w:color w:val="000000"/>
          <w:sz w:val="22"/>
        </w:rPr>
        <w:t>Riesgos: mayor continuidad del suministro gracias al dual sourcing y a los planes de contingencia, y menor riesgo de integridad por la segregación de funciones y los controles.</w:t>
      </w:r>
    </w:p>
    <w:p>
      <w:pPr>
        <w:pStyle w:val="ListBullet"/>
        <w:jc w:val="both"/>
      </w:pPr>
      <w:r>
        <w:rPr>
          <w:rFonts w:ascii="Arial" w:hAnsi="Arial"/>
          <w:b w:val="0"/>
          <w:i w:val="0"/>
          <w:color w:val="000000"/>
          <w:sz w:val="22"/>
        </w:rPr>
        <w:t>Competitividad: al comprar mejor y a tiempo, Evolti puede cumplir cronogramas, presentar ofertas más competitivas en sus proyectos y sumar la sostenibilidad como un valor diferencial, algo cada vez más importante en el sector de energías renovables.</w:t>
      </w:r>
    </w:p>
    <w:p>
      <w:pPr>
        <w:jc w:val="both"/>
      </w:pPr>
      <w:r>
        <w:rPr>
          <w:rFonts w:ascii="Arial" w:hAnsi="Arial"/>
          <w:b w:val="0"/>
          <w:i w:val="0"/>
          <w:color w:val="000000"/>
          <w:sz w:val="22"/>
        </w:rPr>
        <w:t>Como reflexión final, y hablando desde mi experiencia todavía corta en el área, creo que lo más valioso de este análisis es entender que el área de compras puede aportar mucho más que “conseguir cosas baratas”: bien organizada, se convierte en una palanca de valor para toda la empresa. Seguiré profundizando en estos temas a medida que gane experiencia.</w:t>
      </w:r>
    </w:p>
    <w:p>
      <w:r>
        <w:br w:type="page"/>
      </w:r>
    </w:p>
    <w:p>
      <w:pPr>
        <w:keepNext/>
        <w:spacing w:before="280" w:after="120"/>
        <w:jc w:val="center"/>
      </w:pPr>
      <w:r>
        <w:rPr>
          <w:rFonts w:ascii="Arial" w:hAnsi="Arial"/>
          <w:b/>
          <w:i w:val="0"/>
          <w:color w:val="000000"/>
          <w:sz w:val="24"/>
        </w:rPr>
        <w:t>Referencias</w:t>
      </w:r>
    </w:p>
    <w:p>
      <w:pPr>
        <w:spacing w:line="360" w:lineRule="auto"/>
        <w:ind w:left="720" w:hanging="720"/>
        <w:jc w:val="left"/>
      </w:pPr>
      <w:r>
        <w:rPr>
          <w:rFonts w:ascii="Arial" w:hAnsi="Arial"/>
          <w:b w:val="0"/>
          <w:i w:val="0"/>
          <w:color w:val="000000"/>
          <w:sz w:val="22"/>
        </w:rPr>
        <w:t xml:space="preserve">Instituto Colombiano de Normas Técnicas y Certificación. (2017). </w:t>
      </w:r>
      <w:r>
        <w:rPr>
          <w:rFonts w:ascii="Arial" w:hAnsi="Arial"/>
          <w:b w:val="0"/>
          <w:i/>
          <w:color w:val="000000"/>
          <w:sz w:val="22"/>
        </w:rPr>
        <w:t>Norma Técnica Colombiana NTC-ISO 20400: Compras sostenibles. Guía</w:t>
      </w:r>
      <w:r>
        <w:rPr>
          <w:rFonts w:ascii="Arial" w:hAnsi="Arial"/>
          <w:b w:val="0"/>
          <w:i w:val="0"/>
          <w:color w:val="000000"/>
          <w:sz w:val="22"/>
        </w:rPr>
        <w:t>. ICONTEC.</w:t>
      </w:r>
    </w:p>
    <w:p>
      <w:pPr>
        <w:spacing w:line="360" w:lineRule="auto"/>
        <w:ind w:left="720" w:hanging="720"/>
        <w:jc w:val="left"/>
      </w:pPr>
      <w:r>
        <w:rPr>
          <w:rFonts w:ascii="Arial" w:hAnsi="Arial"/>
          <w:b w:val="0"/>
          <w:i w:val="0"/>
          <w:color w:val="000000"/>
          <w:sz w:val="22"/>
        </w:rPr>
        <w:t xml:space="preserve">Kraljic, P. (1983). Purchasing must become supply management. </w:t>
      </w:r>
      <w:r>
        <w:rPr>
          <w:rFonts w:ascii="Arial" w:hAnsi="Arial"/>
          <w:b w:val="0"/>
          <w:i/>
          <w:color w:val="000000"/>
          <w:sz w:val="22"/>
        </w:rPr>
        <w:t>Harvard Business Review, 61</w:t>
      </w:r>
      <w:r>
        <w:rPr>
          <w:rFonts w:ascii="Arial" w:hAnsi="Arial"/>
          <w:b w:val="0"/>
          <w:i w:val="0"/>
          <w:color w:val="000000"/>
          <w:sz w:val="22"/>
        </w:rPr>
        <w:t>(5), 109–117.</w:t>
      </w:r>
    </w:p>
    <w:p>
      <w:pPr>
        <w:spacing w:line="360" w:lineRule="auto"/>
        <w:ind w:left="720" w:hanging="720"/>
        <w:jc w:val="left"/>
      </w:pPr>
      <w:r>
        <w:rPr>
          <w:rFonts w:ascii="Arial" w:hAnsi="Arial"/>
          <w:b w:val="0"/>
          <w:i w:val="0"/>
          <w:color w:val="000000"/>
          <w:sz w:val="22"/>
        </w:rPr>
        <w:t xml:space="preserve">Organización Internacional de Normalización. (2018). </w:t>
      </w:r>
      <w:r>
        <w:rPr>
          <w:rFonts w:ascii="Arial" w:hAnsi="Arial"/>
          <w:b w:val="0"/>
          <w:i/>
          <w:color w:val="000000"/>
          <w:sz w:val="22"/>
        </w:rPr>
        <w:t>ISO 31000:2018. Gestión del riesgo. Directrices</w:t>
      </w:r>
      <w:r>
        <w:rPr>
          <w:rFonts w:ascii="Arial" w:hAnsi="Arial"/>
          <w:b w:val="0"/>
          <w:i w:val="0"/>
          <w:color w:val="000000"/>
          <w:sz w:val="22"/>
        </w:rPr>
        <w:t>. ISO.</w:t>
      </w:r>
    </w:p>
    <w:p>
      <w:pPr>
        <w:spacing w:line="360" w:lineRule="auto"/>
        <w:ind w:left="720" w:hanging="720"/>
        <w:jc w:val="left"/>
      </w:pPr>
      <w:r>
        <w:rPr>
          <w:rFonts w:ascii="Arial" w:hAnsi="Arial"/>
          <w:b w:val="0"/>
          <w:i w:val="0"/>
          <w:color w:val="000000"/>
          <w:sz w:val="22"/>
        </w:rPr>
        <w:t xml:space="preserve">Pontificia Universidad Javeriana Cali. (2026). </w:t>
      </w:r>
      <w:r>
        <w:rPr>
          <w:rFonts w:ascii="Arial" w:hAnsi="Arial"/>
          <w:b w:val="0"/>
          <w:i/>
          <w:color w:val="000000"/>
          <w:sz w:val="22"/>
        </w:rPr>
        <w:t>Módulo 1: Fundamentos del procurement estratégico</w:t>
      </w:r>
      <w:r>
        <w:rPr>
          <w:rFonts w:ascii="Arial" w:hAnsi="Arial"/>
          <w:b w:val="0"/>
          <w:i w:val="0"/>
          <w:color w:val="000000"/>
          <w:sz w:val="22"/>
        </w:rPr>
        <w:t xml:space="preserve"> [Material de clase del Diplomado en Procurement Estratégico y Abastecimiento Sostenible]. Cali, Colombia.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