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i w:val="0"/>
          <w:color w:val="000000"/>
          <w:sz w:val="30"/>
        </w:rPr>
        <w:t>Guion para la Presentación</w:t>
      </w:r>
    </w:p>
    <w:p>
      <w:pPr>
        <w:spacing w:after="200"/>
        <w:jc w:val="center"/>
      </w:pPr>
      <w:r>
        <w:rPr>
          <w:rFonts w:ascii="Arial" w:hAnsi="Arial"/>
          <w:b w:val="0"/>
          <w:i/>
          <w:color w:val="000000"/>
          <w:sz w:val="22"/>
        </w:rPr>
        <w:t>Libreto diapositiva por diapositiva · Módulo 1 · Laura Sofía Salas Rosero</w:t>
      </w:r>
    </w:p>
    <w:p>
      <w:pPr>
        <w:jc w:val="both"/>
      </w:pPr>
      <w:r>
        <w:rPr>
          <w:rFonts w:ascii="Arial" w:hAnsi="Arial"/>
          <w:b w:val="0"/>
          <w:i w:val="0"/>
          <w:color w:val="000000"/>
          <w:sz w:val="22"/>
        </w:rPr>
        <w:t>Este es un guion sugerido para exponer las 13 diapositivas de la presentación. No tienes que aprenderlo de memoria: úsalo como apoyo y dilo con tus palabras. Al lado de cada diapositiva verás lo que puedes decir. Duración estimada: 10 a 13 minutos.</w:t>
      </w:r>
    </w:p>
    <w:p>
      <w:pPr>
        <w:keepNext/>
        <w:spacing w:before="120" w:after="40"/>
      </w:pPr>
      <w:r>
        <w:rPr>
          <w:rFonts w:ascii="Arial" w:hAnsi="Arial"/>
          <w:b/>
          <w:i w:val="0"/>
          <w:color w:val="000000"/>
          <w:sz w:val="22"/>
        </w:rPr>
        <w:t>Diapositiva 1 — Portada</w:t>
      </w:r>
    </w:p>
    <w:p>
      <w:pPr>
        <w:jc w:val="both"/>
      </w:pPr>
      <w:r>
        <w:rPr>
          <w:rFonts w:ascii="Arial" w:hAnsi="Arial"/>
          <w:b/>
          <w:i w:val="0"/>
          <w:color w:val="000000"/>
          <w:sz w:val="22"/>
        </w:rPr>
        <w:t xml:space="preserve">Qué decir: </w:t>
      </w:r>
      <w:r>
        <w:rPr>
          <w:rFonts w:ascii="Arial" w:hAnsi="Arial"/>
          <w:b w:val="0"/>
          <w:i w:val="0"/>
          <w:color w:val="000000"/>
          <w:sz w:val="22"/>
        </w:rPr>
        <w:t>“Buenos días. Mi nombre es Laura Sofía Salas Rosero. Voy a presentar el trabajo del Módulo 1, en el que asumí el rol de consultora de abastecimiento para Evolti, una empresa que construye granjas solares. El objetivo fue diagnosticar cómo compra hoy y proponer un plan para llevarla hacia un procurement más estratégico.”</w:t>
      </w:r>
    </w:p>
    <w:p>
      <w:pPr>
        <w:ind w:left="283"/>
        <w:jc w:val="both"/>
      </w:pPr>
      <w:r>
        <w:rPr>
          <w:rFonts w:ascii="Arial" w:hAnsi="Arial"/>
          <w:b/>
          <w:i/>
          <w:color w:val="000000"/>
          <w:sz w:val="22"/>
        </w:rPr>
        <w:t xml:space="preserve">Tip: </w:t>
      </w:r>
      <w:r>
        <w:rPr>
          <w:rFonts w:ascii="Arial" w:hAnsi="Arial"/>
          <w:b w:val="0"/>
          <w:i/>
          <w:color w:val="000000"/>
          <w:sz w:val="22"/>
        </w:rPr>
        <w:t>Preséntate con calma; esta diapositiva marca el tono.</w:t>
      </w:r>
    </w:p>
    <w:p>
      <w:pPr>
        <w:keepNext/>
        <w:spacing w:before="120" w:after="40"/>
      </w:pPr>
      <w:r>
        <w:rPr>
          <w:rFonts w:ascii="Arial" w:hAnsi="Arial"/>
          <w:b/>
          <w:i w:val="0"/>
          <w:color w:val="000000"/>
          <w:sz w:val="22"/>
        </w:rPr>
        <w:t>Diapositiva 2 — Contexto / Contenido</w:t>
      </w:r>
    </w:p>
    <w:p>
      <w:pPr>
        <w:jc w:val="both"/>
      </w:pPr>
      <w:r>
        <w:rPr>
          <w:rFonts w:ascii="Arial" w:hAnsi="Arial"/>
          <w:b/>
          <w:i w:val="0"/>
          <w:color w:val="000000"/>
          <w:sz w:val="22"/>
        </w:rPr>
        <w:t xml:space="preserve">Qué decir: </w:t>
      </w:r>
      <w:r>
        <w:rPr>
          <w:rFonts w:ascii="Arial" w:hAnsi="Arial"/>
          <w:b w:val="0"/>
          <w:i w:val="0"/>
          <w:color w:val="000000"/>
          <w:sz w:val="22"/>
        </w:rPr>
        <w:t>“Evolti gasta cerca del 70 % del costo de cada proyecto en compras, pero el área opera de forma reactiva. Ahí está la oportunidad: profesionalizar el abastecimiento genera ahorro, controla riesgos y ayuda a cumplir los cronogramas. Les mostraré el diagnóstico, el análisis del gasto, la estrategia por categorías, los indicadores, el modelo de gobierno y un plan a 12 meses.”</w:t>
      </w:r>
    </w:p>
    <w:p>
      <w:pPr>
        <w:ind w:left="283"/>
        <w:jc w:val="both"/>
      </w:pPr>
      <w:r>
        <w:rPr>
          <w:rFonts w:ascii="Arial" w:hAnsi="Arial"/>
          <w:b/>
          <w:i/>
          <w:color w:val="000000"/>
          <w:sz w:val="22"/>
        </w:rPr>
        <w:t xml:space="preserve">Tip: </w:t>
      </w:r>
      <w:r>
        <w:rPr>
          <w:rFonts w:ascii="Arial" w:hAnsi="Arial"/>
          <w:b w:val="0"/>
          <w:i/>
          <w:color w:val="000000"/>
          <w:sz w:val="22"/>
        </w:rPr>
        <w:t>Aquí anticipas la agenda: da confianza de que hay una estructura clara.</w:t>
      </w:r>
    </w:p>
    <w:p>
      <w:pPr>
        <w:keepNext/>
        <w:spacing w:before="120" w:after="40"/>
      </w:pPr>
      <w:r>
        <w:rPr>
          <w:rFonts w:ascii="Arial" w:hAnsi="Arial"/>
          <w:b/>
          <w:i w:val="0"/>
          <w:color w:val="000000"/>
          <w:sz w:val="22"/>
        </w:rPr>
        <w:t>Diapositiva 3 — Caracterización de Evolti</w:t>
      </w:r>
    </w:p>
    <w:p>
      <w:pPr>
        <w:jc w:val="both"/>
      </w:pPr>
      <w:r>
        <w:rPr>
          <w:rFonts w:ascii="Arial" w:hAnsi="Arial"/>
          <w:b/>
          <w:i w:val="0"/>
          <w:color w:val="000000"/>
          <w:sz w:val="22"/>
        </w:rPr>
        <w:t xml:space="preserve">Qué decir: </w:t>
      </w:r>
      <w:r>
        <w:rPr>
          <w:rFonts w:ascii="Arial" w:hAnsi="Arial"/>
          <w:b w:val="0"/>
          <w:i w:val="0"/>
          <w:color w:val="000000"/>
          <w:sz w:val="22"/>
        </w:rPr>
        <w:t>“Evolti es una empresa EPC de energía solar: hace ingeniería, compras y construcción de granjas solares. Sus compras principales son paneles, inversores, estructuras, materiales eléctricos y obra civil. Y sus riesgos más visibles son la dependencia de proveedores internacionales, las compras urgentes y la poca trazabilidad del gasto.”</w:t>
      </w:r>
    </w:p>
    <w:p>
      <w:pPr>
        <w:keepNext/>
        <w:spacing w:before="120" w:after="40"/>
      </w:pPr>
      <w:r>
        <w:rPr>
          <w:rFonts w:ascii="Arial" w:hAnsi="Arial"/>
          <w:b/>
          <w:i w:val="0"/>
          <w:color w:val="000000"/>
          <w:sz w:val="22"/>
        </w:rPr>
        <w:t>Diapositiva 4 — Diagnóstico: nivel de madurez</w:t>
      </w:r>
    </w:p>
    <w:p>
      <w:pPr>
        <w:jc w:val="both"/>
      </w:pPr>
      <w:r>
        <w:rPr>
          <w:rFonts w:ascii="Arial" w:hAnsi="Arial"/>
          <w:b/>
          <w:i w:val="0"/>
          <w:color w:val="000000"/>
          <w:sz w:val="22"/>
        </w:rPr>
        <w:t xml:space="preserve">Qué decir: </w:t>
      </w:r>
      <w:r>
        <w:rPr>
          <w:rFonts w:ascii="Arial" w:hAnsi="Arial"/>
          <w:b w:val="0"/>
          <w:i w:val="0"/>
          <w:color w:val="000000"/>
          <w:sz w:val="22"/>
        </w:rPr>
        <w:t>“Al evaluar la madurez del área, la ubico en un nivel táctico-reactivo: compras consigue lo que se necesita, pero responde a pedidos en vez de planificar. Como ven en la tabla, en datos, proveedores, gobierno y medición todavía estamos en niveles iniciales o básicos.”</w:t>
      </w:r>
    </w:p>
    <w:p>
      <w:pPr>
        <w:ind w:left="283"/>
        <w:jc w:val="both"/>
      </w:pPr>
      <w:r>
        <w:rPr>
          <w:rFonts w:ascii="Arial" w:hAnsi="Arial"/>
          <w:b/>
          <w:i/>
          <w:color w:val="000000"/>
          <w:sz w:val="22"/>
        </w:rPr>
        <w:t xml:space="preserve">Tip: </w:t>
      </w:r>
      <w:r>
        <w:rPr>
          <w:rFonts w:ascii="Arial" w:hAnsi="Arial"/>
          <w:b w:val="0"/>
          <w:i/>
          <w:color w:val="000000"/>
          <w:sz w:val="22"/>
        </w:rPr>
        <w:t>No lo digas como crítica, sino como diagnóstico para mejorar.</w:t>
      </w:r>
    </w:p>
    <w:p>
      <w:pPr>
        <w:keepNext/>
        <w:spacing w:before="120" w:after="40"/>
      </w:pPr>
      <w:r>
        <w:rPr>
          <w:rFonts w:ascii="Arial" w:hAnsi="Arial"/>
          <w:b/>
          <w:i w:val="0"/>
          <w:color w:val="000000"/>
          <w:sz w:val="22"/>
        </w:rPr>
        <w:t>Diapositiva 5 — Riesgos: maverick spend e integridad</w:t>
      </w:r>
    </w:p>
    <w:p>
      <w:pPr>
        <w:jc w:val="both"/>
      </w:pPr>
      <w:r>
        <w:rPr>
          <w:rFonts w:ascii="Arial" w:hAnsi="Arial"/>
          <w:b/>
          <w:i w:val="0"/>
          <w:color w:val="000000"/>
          <w:sz w:val="22"/>
        </w:rPr>
        <w:t xml:space="preserve">Qué decir: </w:t>
      </w:r>
      <w:r>
        <w:rPr>
          <w:rFonts w:ascii="Arial" w:hAnsi="Arial"/>
          <w:b w:val="0"/>
          <w:i w:val="0"/>
          <w:color w:val="000000"/>
          <w:sz w:val="22"/>
        </w:rPr>
        <w:t>“El riesgo más importante es el maverick spend: compras que se hacen por fuera del proceso por la urgencia de la obra, lo que encarece y quita control. A eso se suman riesgos de integridad, como comprar siempre al mismo proveedor sin comparar, y una centralización desordenada donde cada proyecto compra por su cuenta.”</w:t>
      </w:r>
    </w:p>
    <w:p>
      <w:pPr>
        <w:ind w:left="283"/>
        <w:jc w:val="both"/>
      </w:pPr>
      <w:r>
        <w:rPr>
          <w:rFonts w:ascii="Arial" w:hAnsi="Arial"/>
          <w:b/>
          <w:i/>
          <w:color w:val="000000"/>
          <w:sz w:val="22"/>
        </w:rPr>
        <w:t xml:space="preserve">Tip: </w:t>
      </w:r>
      <w:r>
        <w:rPr>
          <w:rFonts w:ascii="Arial" w:hAnsi="Arial"/>
          <w:b w:val="0"/>
          <w:i/>
          <w:color w:val="000000"/>
          <w:sz w:val="22"/>
        </w:rPr>
        <w:t>Explica qué es el maverick spend con tus palabras; es probable que te lo pregunten.</w:t>
      </w:r>
    </w:p>
    <w:p>
      <w:pPr>
        <w:keepNext/>
        <w:spacing w:before="120" w:after="40"/>
      </w:pPr>
      <w:r>
        <w:rPr>
          <w:rFonts w:ascii="Arial" w:hAnsi="Arial"/>
          <w:b/>
          <w:i w:val="0"/>
          <w:color w:val="000000"/>
          <w:sz w:val="22"/>
        </w:rPr>
        <w:t>Diapositiva 6 — Árbol de categorías</w:t>
      </w:r>
    </w:p>
    <w:p>
      <w:pPr>
        <w:jc w:val="both"/>
      </w:pPr>
      <w:r>
        <w:rPr>
          <w:rFonts w:ascii="Arial" w:hAnsi="Arial"/>
          <w:b/>
          <w:i w:val="0"/>
          <w:color w:val="000000"/>
          <w:sz w:val="22"/>
        </w:rPr>
        <w:t xml:space="preserve">Qué decir: </w:t>
      </w:r>
      <w:r>
        <w:rPr>
          <w:rFonts w:ascii="Arial" w:hAnsi="Arial"/>
          <w:b w:val="0"/>
          <w:i w:val="0"/>
          <w:color w:val="000000"/>
          <w:sz w:val="22"/>
        </w:rPr>
        <w:t>“Para poder tener estrategia, primero hay que ordenar el gasto. Organicé las compras en un árbol de 4 categorías con 2 subcategorías cada una. Este árbol es la base para todo el análisis que sigue.”</w:t>
      </w:r>
    </w:p>
    <w:p>
      <w:pPr>
        <w:keepNext/>
        <w:spacing w:before="120" w:after="40"/>
      </w:pPr>
      <w:r>
        <w:rPr>
          <w:rFonts w:ascii="Arial" w:hAnsi="Arial"/>
          <w:b/>
          <w:i w:val="0"/>
          <w:color w:val="000000"/>
          <w:sz w:val="22"/>
        </w:rPr>
        <w:t>Diapositiva 7 — Spend Analysis: Pareto (80/20)</w:t>
      </w:r>
    </w:p>
    <w:p>
      <w:pPr>
        <w:jc w:val="both"/>
      </w:pPr>
      <w:r>
        <w:rPr>
          <w:rFonts w:ascii="Arial" w:hAnsi="Arial"/>
          <w:b/>
          <w:i w:val="0"/>
          <w:color w:val="000000"/>
          <w:sz w:val="22"/>
        </w:rPr>
        <w:t xml:space="preserve">Qué decir: </w:t>
      </w:r>
      <w:r>
        <w:rPr>
          <w:rFonts w:ascii="Arial" w:hAnsi="Arial"/>
          <w:b w:val="0"/>
          <w:i w:val="0"/>
          <w:color w:val="000000"/>
          <w:sz w:val="22"/>
        </w:rPr>
        <w:t>“Aplicando Pareto encontré que 2 categorías concentran el 65 % del gasto y 3 llegan al 80 %. Es decir, unas pocas categorías pesan muchísimo. Por eso el foco inicial debe ir a paneles y estructuras, que es donde una mejora genera el mayor impacto.”</w:t>
      </w:r>
    </w:p>
    <w:p>
      <w:pPr>
        <w:ind w:left="283"/>
        <w:jc w:val="both"/>
      </w:pPr>
      <w:r>
        <w:rPr>
          <w:rFonts w:ascii="Arial" w:hAnsi="Arial"/>
          <w:b/>
          <w:i/>
          <w:color w:val="000000"/>
          <w:sz w:val="22"/>
        </w:rPr>
        <w:t xml:space="preserve">Tip: </w:t>
      </w:r>
      <w:r>
        <w:rPr>
          <w:rFonts w:ascii="Arial" w:hAnsi="Arial"/>
          <w:b w:val="0"/>
          <w:i/>
          <w:color w:val="000000"/>
          <w:sz w:val="22"/>
        </w:rPr>
        <w:t>Señala la barra más alta en la gráfica mientras lo dices.</w:t>
      </w:r>
    </w:p>
    <w:p>
      <w:pPr>
        <w:keepNext/>
        <w:spacing w:before="120" w:after="40"/>
      </w:pPr>
      <w:r>
        <w:rPr>
          <w:rFonts w:ascii="Arial" w:hAnsi="Arial"/>
          <w:b/>
          <w:i w:val="0"/>
          <w:color w:val="000000"/>
          <w:sz w:val="22"/>
        </w:rPr>
        <w:t>Diapositiva 8 — Gasto impactado</w:t>
      </w:r>
    </w:p>
    <w:p>
      <w:pPr>
        <w:jc w:val="both"/>
      </w:pPr>
      <w:r>
        <w:rPr>
          <w:rFonts w:ascii="Arial" w:hAnsi="Arial"/>
          <w:b/>
          <w:i w:val="0"/>
          <w:color w:val="000000"/>
          <w:sz w:val="22"/>
        </w:rPr>
        <w:t xml:space="preserve">Qué decir: </w:t>
      </w:r>
      <w:r>
        <w:rPr>
          <w:rFonts w:ascii="Arial" w:hAnsi="Arial"/>
          <w:b w:val="0"/>
          <w:i w:val="0"/>
          <w:color w:val="000000"/>
          <w:sz w:val="22"/>
        </w:rPr>
        <w:t>“Aquí hay un concepto clave: no se promete ahorro sobre toda la categoría, sino solo sobre el gasto que realmente se puede negociar. Por ejemplo, en inversores el gasto con palanca es de $4.200 millones; con una meta realista del 8 % se logran $336 millones de ahorro al año. Así la propuesta es creíble.”</w:t>
      </w:r>
    </w:p>
    <w:p>
      <w:pPr>
        <w:keepNext/>
        <w:spacing w:before="120" w:after="40"/>
      </w:pPr>
      <w:r>
        <w:rPr>
          <w:rFonts w:ascii="Arial" w:hAnsi="Arial"/>
          <w:b/>
          <w:i w:val="0"/>
          <w:color w:val="000000"/>
          <w:sz w:val="22"/>
        </w:rPr>
        <w:t>Diapositiva 9 — Matriz de Kraljic</w:t>
      </w:r>
    </w:p>
    <w:p>
      <w:pPr>
        <w:jc w:val="both"/>
      </w:pPr>
      <w:r>
        <w:rPr>
          <w:rFonts w:ascii="Arial" w:hAnsi="Arial"/>
          <w:b/>
          <w:i w:val="0"/>
          <w:color w:val="000000"/>
          <w:sz w:val="22"/>
        </w:rPr>
        <w:t xml:space="preserve">Qué decir: </w:t>
      </w:r>
      <w:r>
        <w:rPr>
          <w:rFonts w:ascii="Arial" w:hAnsi="Arial"/>
          <w:b w:val="0"/>
          <w:i w:val="0"/>
          <w:color w:val="000000"/>
          <w:sz w:val="22"/>
        </w:rPr>
        <w:t>“Con la Matriz de Kraljic clasifiqué las compras según su impacto y su riesgo de suministro. Los paneles e inversores son estratégicos y críticos, así que piden alianzas de largo plazo; los transformadores son cuello de botella y piden asegurar el suministro; las estructuras se negocian por volumen; y lo rutinario se automatiza. La idea es: a cada tipo de compra, una estrategia distinta.”</w:t>
      </w:r>
    </w:p>
    <w:p>
      <w:pPr>
        <w:ind w:left="283"/>
        <w:jc w:val="both"/>
      </w:pPr>
      <w:r>
        <w:rPr>
          <w:rFonts w:ascii="Arial" w:hAnsi="Arial"/>
          <w:b/>
          <w:i/>
          <w:color w:val="000000"/>
          <w:sz w:val="22"/>
        </w:rPr>
        <w:t xml:space="preserve">Tip: </w:t>
      </w:r>
      <w:r>
        <w:rPr>
          <w:rFonts w:ascii="Arial" w:hAnsi="Arial"/>
          <w:b w:val="0"/>
          <w:i/>
          <w:color w:val="000000"/>
          <w:sz w:val="22"/>
        </w:rPr>
        <w:t>Este es el punto más técnico: domínalo bien.</w:t>
      </w:r>
    </w:p>
    <w:p>
      <w:pPr>
        <w:keepNext/>
        <w:spacing w:before="120" w:after="40"/>
      </w:pPr>
      <w:r>
        <w:rPr>
          <w:rFonts w:ascii="Arial" w:hAnsi="Arial"/>
          <w:b/>
          <w:i w:val="0"/>
          <w:color w:val="000000"/>
          <w:sz w:val="22"/>
        </w:rPr>
        <w:t>Diapositiva 10 — Tablero de KPIs</w:t>
      </w:r>
    </w:p>
    <w:p>
      <w:pPr>
        <w:jc w:val="both"/>
      </w:pPr>
      <w:r>
        <w:rPr>
          <w:rFonts w:ascii="Arial" w:hAnsi="Arial"/>
          <w:b/>
          <w:i w:val="0"/>
          <w:color w:val="000000"/>
          <w:sz w:val="22"/>
        </w:rPr>
        <w:t xml:space="preserve">Qué decir: </w:t>
      </w:r>
      <w:r>
        <w:rPr>
          <w:rFonts w:ascii="Arial" w:hAnsi="Arial"/>
          <w:b w:val="0"/>
          <w:i w:val="0"/>
          <w:color w:val="000000"/>
          <w:sz w:val="22"/>
        </w:rPr>
        <w:t>“Propuse 5 indicadores, uno por cada dimensión: eficiencia, desempeño del proveedor, riesgo, cumplimiento y sostenibilidad. Cada uno tiene fórmula, meta, responsable y una acción correctiva. La idea es medir para decidir, no medir por medir.”</w:t>
      </w:r>
    </w:p>
    <w:p>
      <w:pPr>
        <w:keepNext/>
        <w:spacing w:before="120" w:after="40"/>
      </w:pPr>
      <w:r>
        <w:rPr>
          <w:rFonts w:ascii="Arial" w:hAnsi="Arial"/>
          <w:b/>
          <w:i w:val="0"/>
          <w:color w:val="000000"/>
          <w:sz w:val="22"/>
        </w:rPr>
        <w:t>Diapositiva 11 — Gobierno: RACI y umbrales</w:t>
      </w:r>
    </w:p>
    <w:p>
      <w:pPr>
        <w:jc w:val="both"/>
      </w:pPr>
      <w:r>
        <w:rPr>
          <w:rFonts w:ascii="Arial" w:hAnsi="Arial"/>
          <w:b/>
          <w:i w:val="0"/>
          <w:color w:val="000000"/>
          <w:sz w:val="22"/>
        </w:rPr>
        <w:t xml:space="preserve">Qué decir: </w:t>
      </w:r>
      <w:r>
        <w:rPr>
          <w:rFonts w:ascii="Arial" w:hAnsi="Arial"/>
          <w:b w:val="0"/>
          <w:i w:val="0"/>
          <w:color w:val="000000"/>
          <w:sz w:val="22"/>
        </w:rPr>
        <w:t>“Para el gobierno propongo un modelo híbrido, una matriz RACI que separa quién pide, quién aprueba y quién paga, y unos umbrales de aprobación por monto. Todo esto reduce el riesgo de fraude y le da orden al proceso.”</w:t>
      </w:r>
    </w:p>
    <w:p>
      <w:pPr>
        <w:keepNext/>
        <w:spacing w:before="120" w:after="40"/>
      </w:pPr>
      <w:r>
        <w:rPr>
          <w:rFonts w:ascii="Arial" w:hAnsi="Arial"/>
          <w:b/>
          <w:i w:val="0"/>
          <w:color w:val="000000"/>
          <w:sz w:val="22"/>
        </w:rPr>
        <w:t>Diapositiva 12 — Plan de transformación a 12 meses</w:t>
      </w:r>
    </w:p>
    <w:p>
      <w:pPr>
        <w:jc w:val="both"/>
      </w:pPr>
      <w:r>
        <w:rPr>
          <w:rFonts w:ascii="Arial" w:hAnsi="Arial"/>
          <w:b/>
          <w:i w:val="0"/>
          <w:color w:val="000000"/>
          <w:sz w:val="22"/>
        </w:rPr>
        <w:t xml:space="preserve">Qué decir: </w:t>
      </w:r>
      <w:r>
        <w:rPr>
          <w:rFonts w:ascii="Arial" w:hAnsi="Arial"/>
          <w:b w:val="0"/>
          <w:i w:val="0"/>
          <w:color w:val="000000"/>
          <w:sz w:val="22"/>
        </w:rPr>
        <w:t>“El plan tiene tres fases: primero ordenar los datos, luego negociar las categorías clave y, por último, formalizar el gobierno, los KPIs y la sostenibilidad. Es realista para un equipo pequeño y contempla los riesgos del cambio, como la resistencia o la falta de tiempo.”</w:t>
      </w:r>
    </w:p>
    <w:p>
      <w:pPr>
        <w:keepNext/>
        <w:spacing w:before="120" w:after="40"/>
      </w:pPr>
      <w:r>
        <w:rPr>
          <w:rFonts w:ascii="Arial" w:hAnsi="Arial"/>
          <w:b/>
          <w:i w:val="0"/>
          <w:color w:val="000000"/>
          <w:sz w:val="22"/>
        </w:rPr>
        <w:t>Diapositiva 13 — Impacto y cierre</w:t>
      </w:r>
    </w:p>
    <w:p>
      <w:pPr>
        <w:jc w:val="both"/>
      </w:pPr>
      <w:r>
        <w:rPr>
          <w:rFonts w:ascii="Arial" w:hAnsi="Arial"/>
          <w:b/>
          <w:i w:val="0"/>
          <w:color w:val="000000"/>
          <w:sz w:val="22"/>
        </w:rPr>
        <w:t xml:space="preserve">Qué decir: </w:t>
      </w:r>
      <w:r>
        <w:rPr>
          <w:rFonts w:ascii="Arial" w:hAnsi="Arial"/>
          <w:b w:val="0"/>
          <w:i w:val="0"/>
          <w:color w:val="000000"/>
          <w:sz w:val="22"/>
        </w:rPr>
        <w:t>“En resumen: este plan permitiría ahorros del 8 al 12 %, reduciría riesgos de suministro y haría a Evolti más competitiva. La conclusión es que compras puede dejar de ‘apagar incendios’ y convertirse en una palanca de valor para toda la empresa. Muchas gracias, quedo atenta a sus preguntas.”</w:t>
      </w:r>
    </w:p>
    <w:p>
      <w:pPr>
        <w:ind w:left="283"/>
        <w:jc w:val="both"/>
      </w:pPr>
      <w:r>
        <w:rPr>
          <w:rFonts w:ascii="Arial" w:hAnsi="Arial"/>
          <w:b/>
          <w:i/>
          <w:color w:val="000000"/>
          <w:sz w:val="22"/>
        </w:rPr>
        <w:t xml:space="preserve">Tip: </w:t>
      </w:r>
      <w:r>
        <w:rPr>
          <w:rFonts w:ascii="Arial" w:hAnsi="Arial"/>
          <w:b w:val="0"/>
          <w:i/>
          <w:color w:val="000000"/>
          <w:sz w:val="22"/>
        </w:rPr>
        <w:t>Cierra con seguridad y agradece; deja espacio para preguntas.</w:t>
      </w:r>
    </w:p>
    <w:p>
      <w:pPr>
        <w:keepNext/>
        <w:spacing w:before="240" w:after="80"/>
      </w:pPr>
      <w:r>
        <w:rPr>
          <w:rFonts w:ascii="Arial" w:hAnsi="Arial"/>
          <w:b/>
          <w:i w:val="0"/>
          <w:color w:val="000000"/>
          <w:sz w:val="26"/>
        </w:rPr>
        <w:t>Posibles preguntas y cómo responder</w:t>
      </w:r>
    </w:p>
    <w:p>
      <w:pPr>
        <w:jc w:val="both"/>
      </w:pPr>
      <w:r>
        <w:rPr>
          <w:rFonts w:ascii="Arial" w:hAnsi="Arial"/>
          <w:b/>
          <w:i w:val="0"/>
          <w:color w:val="000000"/>
          <w:sz w:val="22"/>
        </w:rPr>
        <w:t xml:space="preserve">¿De dónde salieron las cifras? </w:t>
      </w:r>
      <w:r>
        <w:rPr>
          <w:rFonts w:ascii="Arial" w:hAnsi="Arial"/>
          <w:b w:val="0"/>
          <w:i w:val="0"/>
          <w:color w:val="000000"/>
          <w:sz w:val="22"/>
        </w:rPr>
        <w:t>“Son estimaciones de trabajo con fines académicos, coherentes con proyectos de este tipo; todavía no manejo todas las cifras reales de la empresa.”</w:t>
      </w:r>
    </w:p>
    <w:p>
      <w:pPr>
        <w:jc w:val="both"/>
      </w:pPr>
      <w:r>
        <w:rPr>
          <w:rFonts w:ascii="Arial" w:hAnsi="Arial"/>
          <w:b/>
          <w:i w:val="0"/>
          <w:color w:val="000000"/>
          <w:sz w:val="22"/>
        </w:rPr>
        <w:t xml:space="preserve">¿Qué es el maverick spend? </w:t>
      </w:r>
      <w:r>
        <w:rPr>
          <w:rFonts w:ascii="Arial" w:hAnsi="Arial"/>
          <w:b w:val="0"/>
          <w:i w:val="0"/>
          <w:color w:val="000000"/>
          <w:sz w:val="22"/>
        </w:rPr>
        <w:t>“Son compras hechas por fuera del proceso y de los contratos definidos, casi siempre por urgencia; encarecen y quitan control.”</w:t>
      </w:r>
    </w:p>
    <w:p>
      <w:pPr>
        <w:jc w:val="both"/>
      </w:pPr>
      <w:r>
        <w:rPr>
          <w:rFonts w:ascii="Arial" w:hAnsi="Arial"/>
          <w:b/>
          <w:i w:val="0"/>
          <w:color w:val="000000"/>
          <w:sz w:val="22"/>
        </w:rPr>
        <w:t xml:space="preserve">¿Por qué un modelo híbrido y no centralizado total? </w:t>
      </w:r>
      <w:r>
        <w:rPr>
          <w:rFonts w:ascii="Arial" w:hAnsi="Arial"/>
          <w:b w:val="0"/>
          <w:i w:val="0"/>
          <w:color w:val="000000"/>
          <w:sz w:val="22"/>
        </w:rPr>
        <w:t>“Porque Evolti trabaja por proyectos con cronogramas ajustados; se centraliza lo estratégico para negociar mejor, pero se deja agilidad local para lo urgente, bajo reglas.”</w:t>
      </w:r>
    </w:p>
    <w:p>
      <w:pPr>
        <w:jc w:val="both"/>
      </w:pPr>
      <w:r>
        <w:rPr>
          <w:rFonts w:ascii="Arial" w:hAnsi="Arial"/>
          <w:b/>
          <w:i w:val="0"/>
          <w:color w:val="000000"/>
          <w:sz w:val="22"/>
        </w:rPr>
        <w:t xml:space="preserve">¿Cuál es el primer paso? </w:t>
      </w:r>
      <w:r>
        <w:rPr>
          <w:rFonts w:ascii="Arial" w:hAnsi="Arial"/>
          <w:b w:val="0"/>
          <w:i w:val="0"/>
          <w:color w:val="000000"/>
          <w:sz w:val="22"/>
        </w:rPr>
        <w:t>“Ordenar y limpiar los datos del gasto; sin datos confiables no se puede construir estrategia.”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