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caps/>
          <w:color w:val="1A1626"/>
          <w:sz w:val="56"/>
          <w:szCs w:val="56"/>
        </w:rPr>
        <w:t xml:space="preserve">THE WEFT</w:t>
      </w:r>
    </w:p>
    <w:p>
      <w:pPr>
        <w:spacing w:after="40"/>
        <w:jc w:val="center"/>
      </w:pPr>
      <w:r>
        <w:rPr>
          <w:i/>
          <w:iCs/>
          <w:color w:val="6B4FA0"/>
          <w:sz w:val="36"/>
          <w:szCs w:val="36"/>
        </w:rPr>
        <w:t xml:space="preserve">The Peripeteia</w:t>
      </w:r>
    </w:p>
    <w:p>
      <w:pPr>
        <w:spacing w:after="30"/>
        <w:jc w:val="center"/>
      </w:pPr>
      <w:r>
        <w:rPr>
          <w:color w:val="6A6478"/>
          <w:sz w:val="22"/>
          <w:szCs w:val="22"/>
        </w:rPr>
        <w:t xml:space="preserve">— The Rescue Turns —</w:t>
      </w:r>
    </w:p>
    <w:p>
      <w:pPr>
        <w:spacing w:after="220"/>
        <w:jc w:val="center"/>
      </w:pPr>
      <w:r>
        <w:rPr>
          <w:color w:val="6A6478"/>
          <w:sz w:val="18"/>
          <w:szCs w:val="18"/>
        </w:rPr>
        <w:t xml:space="preserve">A TWO-SESSION investigation module  ·  D&amp;D 5e (2014 + Tasha’s)  ·  ~6–8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FA0" w:sz="4"/>
              <w:left w:val="single" w:color="6B4FA0" w:sz="4"/>
              <w:bottom w:val="single" w:color="6B4FA0" w:sz="4"/>
              <w:right w:val="single" w:color="6B4FA0" w:sz="4"/>
            </w:tcBorders>
            <w:shd w:fill="EDE9F2" w:val="clear"/>
            <w:tcMar>
              <w:top w:type="dxa" w:w="120"/>
              <w:left w:type="dxa" w:w="180"/>
              <w:bottom w:type="dxa" w:w="120"/>
              <w:right w:type="dxa" w:w="180"/>
            </w:tcMar>
          </w:tcPr>
          <w:p>
            <w:pPr>
              <w:spacing w:after="80"/>
            </w:pPr>
            <w:r>
              <w:rPr>
                <w:b/>
                <w:bCs/>
                <w:caps/>
                <w:color w:val="6B4FA0"/>
                <w:sz w:val="24"/>
                <w:szCs w:val="24"/>
              </w:rPr>
              <w:t xml:space="preserve">The hinge of the tragedy</w:t>
            </w:r>
          </w:p>
          <w:p>
            <w:pPr>
              <w:spacing w:after="120" w:line="276"/>
            </w:pPr>
            <w:r>
              <w:t xml:space="preserve">This is the </w:t>
            </w:r>
            <w:r>
              <w:rPr>
                <w:i/>
                <w:iCs/>
              </w:rPr>
              <w:t xml:space="preserve">Peripeteia</w:t>
            </w:r>
            <w:r>
              <w:t xml:space="preserve"> — the reversal the whole campaign bends toward. The party has been saved and sheltered by a warm, vine-crowned god they know as </w:t>
            </w:r>
            <w:r>
              <w:rPr>
                <w:b/>
                <w:bCs/>
              </w:rPr>
              <w:t xml:space="preserve">Dionysus</w:t>
            </w:r>
            <w:r>
              <w:t xml:space="preserve">. Across </w:t>
            </w:r>
            <w:r>
              <w:rPr>
                <w:b/>
                <w:bCs/>
              </w:rPr>
              <w:t xml:space="preserve">two sessions</w:t>
            </w:r>
            <w:r>
              <w:t xml:space="preserve"> they gather evidence that the rescue was something else, then force the mask off. The reveal is a slow poisoning of trust, not a single beat.</w:t>
            </w:r>
          </w:p>
          <w:p>
            <w:pPr>
              <w:spacing w:after="120" w:line="276"/>
            </w:pPr>
            <w:r>
              <w:t xml:space="preserve">By the end they should know three things they cannot un-know:</w:t>
            </w:r>
          </w:p>
          <w:p>
            <w:pPr>
              <w:pStyle w:val="ListParagraph"/>
              <w:numPr>
                <w:ilvl w:val="0"/>
                <w:numId w:val="2"/>
              </w:numPr>
              <w:spacing w:after="60" w:line="264"/>
            </w:pPr>
            <w:r>
              <w:t xml:space="preserve">They are not refugees. They are </w:t>
            </w:r>
            <w:r>
              <w:rPr>
                <w:i/>
                <w:iCs/>
              </w:rPr>
              <w:t xml:space="preserve">editions</w:t>
            </w:r>
            <w:r>
              <w:t xml:space="preserve"> — archived copies smuggled out of the Sijill’s Anthology.</w:t>
            </w:r>
          </w:p>
          <w:p>
            <w:pPr>
              <w:pStyle w:val="ListParagraph"/>
              <w:numPr>
                <w:ilvl w:val="0"/>
                <w:numId w:val="2"/>
              </w:numPr>
              <w:spacing w:after="60" w:line="264"/>
            </w:pPr>
            <w:r>
              <w:t xml:space="preserve">“Dionysus” is a mask worn by </w:t>
            </w:r>
            <w:r>
              <w:rPr>
                <w:b/>
                <w:bCs/>
              </w:rPr>
              <w:t xml:space="preserve">al-Kutbā / Apollo</w:t>
            </w:r>
            <w:r>
              <w:t xml:space="preserve">, a Sijill scribe-god who saves the record, not the world.</w:t>
            </w:r>
          </w:p>
          <w:p>
            <w:pPr>
              <w:pStyle w:val="ListParagraph"/>
              <w:numPr>
                <w:ilvl w:val="0"/>
                <w:numId w:val="2"/>
              </w:numPr>
              <w:spacing w:after="60" w:line="264"/>
            </w:pPr>
            <w:r>
              <w:t xml:space="preserve">The face he wears belonged to his </w:t>
            </w:r>
            <w:r>
              <w:rPr>
                <w:b/>
                <w:bCs/>
              </w:rPr>
              <w:t xml:space="preserve">twin brother Dushara</w:t>
            </w:r>
            <w:r>
              <w:t xml:space="preserve"> — and the brother is beginning to wake.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2E" w:sz="4"/>
              <w:left w:val="single" w:color="B8862E" w:sz="4"/>
              <w:bottom w:val="single" w:color="B8862E" w:sz="4"/>
              <w:right w:val="single" w:color="B8862E" w:sz="4"/>
            </w:tcBorders>
            <w:shd w:fill="F3EEDC" w:val="clear"/>
            <w:tcMar>
              <w:top w:type="dxa" w:w="120"/>
              <w:left w:type="dxa" w:w="180"/>
              <w:bottom w:type="dxa" w:w="120"/>
              <w:right w:type="dxa" w:w="180"/>
            </w:tcMar>
          </w:tcPr>
          <w:p>
            <w:pPr>
              <w:spacing w:after="80"/>
            </w:pPr>
            <w:r>
              <w:rPr>
                <w:b/>
                <w:bCs/>
                <w:caps/>
                <w:color w:val="B8862E"/>
                <w:sz w:val="24"/>
                <w:szCs w:val="24"/>
              </w:rPr>
              <w:t xml:space="preserve">The clue structure — read this first</w:t>
            </w:r>
          </w:p>
          <w:p>
            <w:pPr>
              <w:spacing w:after="120" w:line="276"/>
            </w:pPr>
            <w:r>
              <w:t xml:space="preserve">Three clues, paced across two sessions. </w:t>
            </w:r>
            <w:r>
              <w:rPr>
                <w:b/>
                <w:bCs/>
              </w:rPr>
              <w:t xml:space="preserve">Crucially, they are not equal:</w:t>
            </w:r>
          </w:p>
          <w:p>
            <w:pPr>
              <w:pStyle w:val="ListParagraph"/>
              <w:numPr>
                <w:ilvl w:val="0"/>
                <w:numId w:val="3"/>
              </w:numPr>
              <w:spacing w:after="60" w:line="264"/>
            </w:pPr>
            <w:r>
              <w:t xml:space="preserve">Clues 1 &amp; 2 are </w:t>
            </w:r>
            <w:r>
              <w:rPr>
                <w:b/>
                <w:bCs/>
                <w:color w:val="C4502E"/>
              </w:rPr>
              <w:t xml:space="preserve">DAMNING</w:t>
            </w:r>
            <w:r>
              <w:t xml:space="preserve"> — they make the rescuer look like a predator. Found in Session A. They create strong, </w:t>
            </w:r>
            <w:r>
              <w:rPr>
                <w:i/>
                <w:iCs/>
              </w:rPr>
              <w:t xml:space="preserve">incomplete</w:t>
            </w:r>
            <w:r>
              <w:t xml:space="preserve"> suspicion.</w:t>
            </w:r>
          </w:p>
          <w:p>
            <w:pPr>
              <w:pStyle w:val="ListParagraph"/>
              <w:numPr>
                <w:ilvl w:val="0"/>
                <w:numId w:val="3"/>
              </w:numPr>
              <w:spacing w:after="60" w:line="264"/>
            </w:pPr>
            <w:r>
              <w:t xml:space="preserve">Clue 3 is </w:t>
            </w:r>
            <w:r>
              <w:rPr>
                <w:b/>
                <w:bCs/>
                <w:color w:val="2E7D32"/>
              </w:rPr>
              <w:t xml:space="preserve">EXONERATING</w:t>
            </w:r>
            <w:r>
              <w:t xml:space="preserve"> — it reveals genuine grief and good intent. Found in Session B. Only with all three does the </w:t>
            </w:r>
            <w:r>
              <w:rPr>
                <w:i/>
                <w:iCs/>
              </w:rPr>
              <w:t xml:space="preserve">tragic</w:t>
            </w:r>
            <w:r>
              <w:t xml:space="preserve"> truth resolve: a loving act that was also a crime.</w:t>
            </w:r>
          </w:p>
          <w:p>
            <w:pPr>
              <w:spacing w:after="120" w:line="276"/>
            </w:pPr>
            <w:r>
              <w:t xml:space="preserve">The recognition the players should reach is not “he’s a monster” but “he </w:t>
            </w:r>
            <w:r>
              <w:rPr>
                <w:i/>
                <w:iCs/>
              </w:rPr>
              <w:t xml:space="preserve">loved</w:t>
            </w:r>
            <w:r>
              <w:t xml:space="preserve"> us, and that is why what he did is unbearable.” The exonerating clue is what turns a villain into a tragedy.</w:t>
            </w:r>
          </w:p>
          <w:p>
            <w:pPr>
              <w:spacing w:after="120" w:line="276"/>
            </w:pPr>
            <w:r>
              <w:t xml:space="preserve">(Three more optional clues, 4–6, are included as redundancy so a missed clue never stalls the table — but the 1-2-3 spine is the designed path.)</w:t>
            </w:r>
          </w:p>
          <w:p>
            <w:pPr>
              <w:spacing w:after="120" w:line="276"/>
            </w:pPr>
            <w:r>
              <w:t xml:space="preserve">If the party accuses him early — on the two damning clues alone — that triggers </w:t>
            </w:r>
            <w:r>
              <w:rPr>
                <w:b/>
                <w:bCs/>
              </w:rPr>
              <w:t xml:space="preserve">The Break</w:t>
            </w:r>
            <w:r>
              <w:t xml:space="preserve">, the interstitial trap between the two sessions (see the section after Session A).</w:t>
            </w:r>
          </w:p>
        </w:tc>
      </w:tr>
    </w:tbl>
    <w:p>
      <w:r>
        <w:br w:type="page"/>
      </w:r>
    </w:p>
    <w:p>
      <w:pPr>
        <w:pStyle w:val="Heading1"/>
      </w:pPr>
      <w:r>
        <w:t xml:space="preserve">Where We Open</w:t>
      </w:r>
    </w:p>
    <w:p>
      <w:pPr>
        <w:spacing w:after="120" w:line="276"/>
      </w:pPr>
      <w:r>
        <w:t xml:space="preserve">The Tethyne tide-convoy </w:t>
      </w:r>
      <w:r>
        <w:rPr>
          <w:i/>
          <w:iCs/>
        </w:rPr>
        <w:t xml:space="preserve">Slack-Tide</w:t>
      </w:r>
      <w:r>
        <w:t xml:space="preserve"> has anchored in a </w:t>
      </w:r>
      <w:r>
        <w:rPr>
          <w:i/>
          <w:iCs/>
        </w:rPr>
        <w:t xml:space="preserve">lee</w:t>
      </w:r>
      <w:r>
        <w:t xml:space="preserve"> — a fold of calm — to wait out a Galewind raging two worlds over. Shore leave. The first time in weeks the party has stood still.</w:t>
      </w:r>
    </w:p>
    <w:p>
      <w:pPr>
        <w:spacing w:after="120" w:line="276"/>
      </w:pPr>
      <w:r>
        <w:t xml:space="preserve">Their patron, the rescuer they call </w:t>
      </w:r>
      <w:r>
        <w:rPr>
          <w:b/>
          <w:bCs/>
        </w:rPr>
        <w:t xml:space="preserve">the Reveler</w:t>
      </w:r>
      <w:r>
        <w:t xml:space="preserve"> (“Dionysus”), keeps a sanctum at the convoy’s heart: the </w:t>
      </w:r>
      <w:r>
        <w:rPr>
          <w:b/>
          <w:bCs/>
        </w:rPr>
        <w:t xml:space="preserve">Vintner’s Car</w:t>
      </w:r>
      <w:r>
        <w:t xml:space="preserve">, a chapel-barge strung with living vine. He has announced a feast in the party’s honor — </w:t>
      </w:r>
      <w:r>
        <w:rPr>
          <w:b/>
          <w:bCs/>
        </w:rPr>
        <w:t xml:space="preserve">at the end of shore leave</w:t>
      </w:r>
      <w:r>
        <w:t xml:space="preserve">. That gives the party the whole lee to wander, and a fixed appointment to walk into. The feast is the natural site of the Session B confrontation; shore leave is the investigation.</w:t>
      </w:r>
    </w:p>
    <w:p>
      <w:pPr>
        <w:pBdr>
          <w:left w:val="single" w:color="B8862E" w:sz="18" w:space="12"/>
        </w:pBdr>
        <w:spacing w:after="160" w:before="80" w:line="288"/>
        <w:ind w:left="360" w:right="360"/>
      </w:pPr>
      <w:r>
        <w:rPr>
          <w:i/>
          <w:iCs/>
          <w:color w:val="33304A"/>
        </w:rPr>
        <w:t xml:space="preserve">The lee is the quietest the Weft ever gets — no tide, no wind, just the curtains breathing past the lanterns. Word goes down the convoy that when shore leave ends, the Reveler means to thank you by name at his own table. Until then, the refugees drink, the archivists count, and somewhere under the music something in this convoy does not add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E8F" w:sz="4"/>
              <w:left w:val="single" w:color="2E9E8F" w:sz="4"/>
              <w:bottom w:val="single" w:color="2E9E8F" w:sz="4"/>
              <w:right w:val="single" w:color="2E9E8F" w:sz="4"/>
            </w:tcBorders>
            <w:shd w:fill="EDE9F2" w:val="clear"/>
            <w:tcMar>
              <w:top w:type="dxa" w:w="120"/>
              <w:left w:type="dxa" w:w="180"/>
              <w:bottom w:type="dxa" w:w="120"/>
              <w:right w:type="dxa" w:w="180"/>
            </w:tcMar>
          </w:tcPr>
          <w:p>
            <w:pPr>
              <w:spacing w:after="80"/>
            </w:pPr>
            <w:r>
              <w:rPr>
                <w:b/>
                <w:bCs/>
                <w:caps/>
                <w:color w:val="2E9E8F"/>
                <w:sz w:val="24"/>
                <w:szCs w:val="24"/>
              </w:rPr>
              <w:t xml:space="preserve">The dramatic question</w:t>
            </w:r>
          </w:p>
          <w:p>
            <w:pPr>
              <w:spacing w:after="120" w:line="276"/>
            </w:pPr>
            <w:r>
              <w:t xml:space="preserve">Players think they’re asking: </w:t>
            </w:r>
            <w:r>
              <w:rPr>
                <w:i/>
                <w:iCs/>
              </w:rPr>
              <w:t xml:space="preserve">“Who is hunting our convoy?”</w:t>
            </w:r>
            <w:r>
              <w:t xml:space="preserve"> (al-ʿūzzā, the Sijill huntress, has shadowed them since the Parodos.)</w:t>
            </w:r>
          </w:p>
          <w:p>
            <w:pPr>
              <w:spacing w:after="120" w:line="276"/>
            </w:pPr>
            <w:r>
              <w:t xml:space="preserve">They are actually answering: </w:t>
            </w:r>
            <w:r>
              <w:rPr>
                <w:b/>
                <w:bCs/>
                <w:i/>
                <w:iCs/>
              </w:rPr>
              <w:t xml:space="preserve">“What did our rescuer do to us — and why?”</w:t>
            </w:r>
          </w:p>
        </w:tc>
      </w:tr>
    </w:tbl>
    <w:p>
      <w:r>
        <w:br w:type="page"/>
      </w:r>
    </w:p>
    <w:p>
      <w:pPr>
        <w:pStyle w:val="Heading1"/>
      </w:pPr>
      <w:r>
        <w:t xml:space="preserve">SESSION A — The Rot Sets In</w:t>
      </w:r>
    </w:p>
    <w:p>
      <w:pPr>
        <w:spacing w:after="120" w:line="276"/>
      </w:pPr>
      <w:r>
        <w:t xml:space="preserve">Goal: deliver the two </w:t>
      </w:r>
      <w:r>
        <w:rPr>
          <w:b/>
          <w:bCs/>
          <w:color w:val="C4502E"/>
        </w:rPr>
        <w:t xml:space="preserve">damning</w:t>
      </w:r>
      <w:r>
        <w:t xml:space="preserve"> clues and let suspicion build. End the session on the edge of confrontation — ideally with the party </w:t>
      </w:r>
      <w:r>
        <w:rPr>
          <w:i/>
          <w:iCs/>
        </w:rPr>
        <w:t xml:space="preserve">wanting</w:t>
      </w:r>
      <w:r>
        <w:t xml:space="preserve"> to accuse him, the feast still ahead, and the question of whether to wait for proof left hanging over the break. If they resolve to accuse him early, that resolution carries into </w:t>
      </w:r>
      <w:r>
        <w:rPr>
          <w:b/>
          <w:bCs/>
        </w:rPr>
        <w:t xml:space="preserve">The Break</w:t>
      </w:r>
      <w:r>
        <w:t xml:space="preserve"> (the interstitial after this session).</w:t>
      </w:r>
    </w:p>
    <w:p>
      <w:pPr>
        <w:pStyle w:val="Heading2"/>
      </w:pPr>
      <w:r>
        <w:t xml:space="preserve">Clue 1 — The Manifest That Counts Twice</w:t>
      </w:r>
    </w:p>
    <w:p>
      <w:pPr>
        <w:shd w:fill="C4502E" w:val="clear"/>
        <w:spacing w:after="80"/>
        <w:ind w:left="0"/>
      </w:pPr>
      <w:r>
        <w:rPr>
          <w:b/>
          <w:bCs/>
          <w:caps/>
          <w:color w:val="FFFFFF"/>
          <w:sz w:val="18"/>
          <w:szCs w:val="18"/>
        </w:rPr>
        <w:t xml:space="preserve">DAMNING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CCCCC" w:sz="2"/>
              <w:left w:val="single" w:color="CCCCCC" w:sz="2"/>
              <w:bottom w:val="single" w:color="CCCCCC" w:sz="2"/>
              <w:right w:val="single" w:color="CCCCCC" w:sz="2"/>
            </w:tcBorders>
            <w:shd w:fill="C4502E" w:val="clear"/>
            <w:tcMar>
              <w:top w:type="dxa" w:w="60"/>
              <w:left w:type="dxa" w:w="110"/>
              <w:bottom w:type="dxa" w:w="60"/>
              <w:right w:type="dxa" w:w="110"/>
            </w:tcMar>
          </w:tcPr>
          <w:p>
            <w:r>
              <w:rPr>
                <w:b/>
                <w:bCs/>
                <w:color w:val="FFFFFF"/>
                <w:sz w:val="19"/>
                <w:szCs w:val="19"/>
              </w:rPr>
              <w:t xml:space="preserve">Element</w:t>
            </w:r>
          </w:p>
        </w:tc>
        <w:tc>
          <w:tcPr>
            <w:tcW w:type="dxa" w:w="7260"/>
            <w:tcBorders>
              <w:top w:val="single" w:color="CCCCCC" w:sz="2"/>
              <w:left w:val="single" w:color="CCCCCC" w:sz="2"/>
              <w:bottom w:val="single" w:color="CCCCCC" w:sz="2"/>
              <w:right w:val="single" w:color="CCCCCC" w:sz="2"/>
            </w:tcBorders>
            <w:shd w:fill="C4502E" w:val="clear"/>
            <w:tcMar>
              <w:top w:type="dxa" w:w="60"/>
              <w:left w:type="dxa" w:w="110"/>
              <w:bottom w:type="dxa" w:w="60"/>
              <w:right w:type="dxa" w:w="110"/>
            </w:tcMar>
          </w:tcPr>
          <w:p>
            <w:r>
              <w:rPr>
                <w:b/>
                <w:bCs/>
                <w:color w:val="FFFFFF"/>
                <w:sz w:val="19"/>
                <w:szCs w:val="19"/>
              </w:rPr>
              <w:t xml:space="preserve">Detail</w:t>
            </w:r>
          </w:p>
        </w:tc>
      </w:tr>
      <w:tr>
        <w:tc>
          <w:tcPr>
            <w:tcW w:type="dxa" w:w="2100"/>
            <w:tcBorders>
              <w:top w:val="single" w:color="CCCCCC" w:sz="2"/>
              <w:left w:val="single" w:color="CCCCCC" w:sz="2"/>
              <w:bottom w:val="single" w:color="CCCCCC" w:sz="2"/>
              <w:right w:val="single" w:color="CCCCCC" w:sz="2"/>
            </w:tcBorders>
            <w:shd w:fill="EDE9F2" w:val="clear"/>
            <w:tcMar>
              <w:top w:type="dxa" w:w="60"/>
              <w:left w:type="dxa" w:w="110"/>
              <w:bottom w:type="dxa" w:w="60"/>
              <w:right w:type="dxa" w:w="110"/>
            </w:tcMar>
          </w:tcPr>
          <w:p>
            <w:r>
              <w:rPr>
                <w:sz w:val="19"/>
                <w:szCs w:val="19"/>
              </w:rPr>
              <w:t xml:space="preserve">Where</w:t>
            </w:r>
          </w:p>
        </w:tc>
        <w:tc>
          <w:tcPr>
            <w:tcW w:type="dxa" w:w="7260"/>
            <w:tcBorders>
              <w:top w:val="single" w:color="CCCCCC" w:sz="2"/>
              <w:left w:val="single" w:color="CCCCCC" w:sz="2"/>
              <w:bottom w:val="single" w:color="CCCCCC" w:sz="2"/>
              <w:right w:val="single" w:color="CCCCCC" w:sz="2"/>
            </w:tcBorders>
            <w:shd w:fill="EDE9F2" w:val="clear"/>
            <w:tcMar>
              <w:top w:type="dxa" w:w="60"/>
              <w:left w:type="dxa" w:w="110"/>
              <w:bottom w:type="dxa" w:w="60"/>
              <w:right w:type="dxa" w:w="110"/>
            </w:tcMar>
          </w:tcPr>
          <w:p>
            <w:r>
              <w:rPr>
                <w:sz w:val="19"/>
                <w:szCs w:val="19"/>
              </w:rPr>
              <w:t xml:space="preserve">The tally-car, where Tethyne pursers log every soul aboard.</w:t>
            </w:r>
          </w:p>
        </w:tc>
      </w:tr>
      <w:tr>
        <w:tc>
          <w:tcPr>
            <w:tcW w:type="dxa" w:w="2100"/>
            <w:tcBorders>
              <w:top w:val="single" w:color="CCCCCC" w:sz="2"/>
              <w:left w:val="single" w:color="CCCCCC" w:sz="2"/>
              <w:bottom w:val="single" w:color="CCCCCC" w:sz="2"/>
              <w:right w:val="single" w:color="CCCCCC" w:sz="2"/>
            </w:tcBorders>
            <w:shd w:fill="FFFFFF" w:val="clear"/>
            <w:tcMar>
              <w:top w:type="dxa" w:w="60"/>
              <w:left w:type="dxa" w:w="110"/>
              <w:bottom w:type="dxa" w:w="60"/>
              <w:right w:type="dxa" w:w="110"/>
            </w:tcMar>
          </w:tcPr>
          <w:p>
            <w:r>
              <w:rPr>
                <w:sz w:val="19"/>
                <w:szCs w:val="19"/>
              </w:rPr>
              <w:t xml:space="preserve">Find it with</w:t>
            </w:r>
          </w:p>
        </w:tc>
        <w:tc>
          <w:tcPr>
            <w:tcW w:type="dxa" w:w="7260"/>
            <w:tcBorders>
              <w:top w:val="single" w:color="CCCCCC" w:sz="2"/>
              <w:left w:val="single" w:color="CCCCCC" w:sz="2"/>
              <w:bottom w:val="single" w:color="CCCCCC" w:sz="2"/>
              <w:right w:val="single" w:color="CCCCCC" w:sz="2"/>
            </w:tcBorders>
            <w:shd w:fill="FFFFFF" w:val="clear"/>
            <w:tcMar>
              <w:top w:type="dxa" w:w="60"/>
              <w:left w:type="dxa" w:w="110"/>
              <w:bottom w:type="dxa" w:w="60"/>
              <w:right w:type="dxa" w:w="110"/>
            </w:tcMar>
          </w:tcPr>
          <w:p>
            <w:r>
              <w:t xml:space="preserve">Investigation DC 13, or a friendly purser simply hands over a manifest.</w:t>
            </w:r>
          </w:p>
        </w:tc>
      </w:tr>
      <w:tr>
        <w:tc>
          <w:tcPr>
            <w:tcW w:type="dxa" w:w="2100"/>
            <w:tcBorders>
              <w:top w:val="single" w:color="CCCCCC" w:sz="2"/>
              <w:left w:val="single" w:color="CCCCCC" w:sz="2"/>
              <w:bottom w:val="single" w:color="CCCCCC" w:sz="2"/>
              <w:right w:val="single" w:color="CCCCCC" w:sz="2"/>
            </w:tcBorders>
            <w:shd w:fill="EDE9F2" w:val="clear"/>
            <w:tcMar>
              <w:top w:type="dxa" w:w="60"/>
              <w:left w:type="dxa" w:w="110"/>
              <w:bottom w:type="dxa" w:w="60"/>
              <w:right w:type="dxa" w:w="110"/>
            </w:tcMar>
          </w:tcPr>
          <w:p>
            <w:r>
              <w:rPr>
                <w:sz w:val="19"/>
                <w:szCs w:val="19"/>
              </w:rPr>
              <w:t xml:space="preserve">What they see</w:t>
            </w:r>
          </w:p>
        </w:tc>
        <w:tc>
          <w:tcPr>
            <w:tcW w:type="dxa" w:w="7260"/>
            <w:tcBorders>
              <w:top w:val="single" w:color="CCCCCC" w:sz="2"/>
              <w:left w:val="single" w:color="CCCCCC" w:sz="2"/>
              <w:bottom w:val="single" w:color="CCCCCC" w:sz="2"/>
              <w:right w:val="single" w:color="CCCCCC" w:sz="2"/>
            </w:tcBorders>
            <w:shd w:fill="EDE9F2" w:val="clear"/>
            <w:tcMar>
              <w:top w:type="dxa" w:w="60"/>
              <w:left w:type="dxa" w:w="110"/>
              <w:bottom w:type="dxa" w:w="60"/>
              <w:right w:type="dxa" w:w="110"/>
            </w:tcMar>
          </w:tcPr>
          <w:p>
            <w:r>
              <w:rPr>
                <w:sz w:val="19"/>
                <w:szCs w:val="19"/>
              </w:rPr>
              <w:t xml:space="preserve">Every rescued person is logged twice — once as a living passenger, once under a second ledger in a script no Tethyne crew can read (Sijill). The second ledger calls them “entries,” each with a “fidelity” percentage.</w:t>
            </w:r>
          </w:p>
        </w:tc>
      </w:tr>
      <w:tr>
        <w:tc>
          <w:tcPr>
            <w:tcW w:type="dxa" w:w="2100"/>
            <w:tcBorders>
              <w:top w:val="single" w:color="CCCCCC" w:sz="2"/>
              <w:left w:val="single" w:color="CCCCCC" w:sz="2"/>
              <w:bottom w:val="single" w:color="CCCCCC" w:sz="2"/>
              <w:right w:val="single" w:color="CCCCCC" w:sz="2"/>
            </w:tcBorders>
            <w:shd w:fill="FFFFFF" w:val="clear"/>
            <w:tcMar>
              <w:top w:type="dxa" w:w="60"/>
              <w:left w:type="dxa" w:w="110"/>
              <w:bottom w:type="dxa" w:w="60"/>
              <w:right w:type="dxa" w:w="110"/>
            </w:tcMar>
          </w:tcPr>
          <w:p>
            <w:r>
              <w:rPr>
                <w:sz w:val="19"/>
                <w:szCs w:val="19"/>
              </w:rPr>
              <w:t xml:space="preserve">Why it damns</w:t>
            </w:r>
          </w:p>
        </w:tc>
        <w:tc>
          <w:tcPr>
            <w:tcW w:type="dxa" w:w="7260"/>
            <w:tcBorders>
              <w:top w:val="single" w:color="CCCCCC" w:sz="2"/>
              <w:left w:val="single" w:color="CCCCCC" w:sz="2"/>
              <w:bottom w:val="single" w:color="CCCCCC" w:sz="2"/>
              <w:right w:val="single" w:color="CCCCCC" w:sz="2"/>
            </w:tcBorders>
            <w:shd w:fill="FFFFFF" w:val="clear"/>
            <w:tcMar>
              <w:top w:type="dxa" w:w="60"/>
              <w:left w:type="dxa" w:w="110"/>
              <w:bottom w:type="dxa" w:w="60"/>
              <w:right w:type="dxa" w:w="110"/>
            </w:tcMar>
          </w:tcPr>
          <w:p>
            <w:r>
              <w:rPr>
                <w:sz w:val="19"/>
                <w:szCs w:val="19"/>
              </w:rPr>
              <w:t xml:space="preserve">It reads like inventory. People as stock, graded for quality. The Tethyne crew don’t understand it — “the Reveler’s own bookkeeping, we never touch it.”</w:t>
            </w:r>
          </w:p>
        </w:tc>
      </w:tr>
    </w:tbl>
    <w:p>
      <w:pPr>
        <w:spacing w:after="160" w:before="80"/>
      </w:pPr>
      <w:r>
        <w:rPr>
          <w:b/>
          <w:bCs/>
          <w:color w:val="C4502E"/>
        </w:rPr>
        <w:t xml:space="preserve">Plants: </w:t>
      </w:r>
      <w:r>
        <w:rPr>
          <w:i/>
          <w:iCs/>
        </w:rPr>
        <w:t xml:space="preserve">the party are archived copies; “fidelity” = how perfectly each edition matches its lost original (§11).</w:t>
      </w:r>
    </w:p>
    <w:p>
      <w:pPr>
        <w:pStyle w:val="Heading2"/>
      </w:pPr>
      <w:r>
        <w:t xml:space="preserve">Clue 2 — The Refugee Who Remembers Wrong</w:t>
      </w:r>
    </w:p>
    <w:p>
      <w:pPr>
        <w:shd w:fill="C4502E" w:val="clear"/>
        <w:spacing w:after="80"/>
        <w:ind w:left="0"/>
      </w:pPr>
      <w:r>
        <w:rPr>
          <w:b/>
          <w:bCs/>
          <w:caps/>
          <w:color w:val="FFFFFF"/>
          <w:sz w:val="18"/>
          <w:szCs w:val="18"/>
        </w:rPr>
        <w:t xml:space="preserve">DAMNING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CCCCC" w:sz="2"/>
              <w:left w:val="single" w:color="CCCCCC" w:sz="2"/>
              <w:bottom w:val="single" w:color="CCCCCC" w:sz="2"/>
              <w:right w:val="single" w:color="CCCCCC" w:sz="2"/>
            </w:tcBorders>
            <w:shd w:fill="C4502E" w:val="clear"/>
            <w:tcMar>
              <w:top w:type="dxa" w:w="60"/>
              <w:left w:type="dxa" w:w="110"/>
              <w:bottom w:type="dxa" w:w="60"/>
              <w:right w:type="dxa" w:w="110"/>
            </w:tcMar>
          </w:tcPr>
          <w:p>
            <w:r>
              <w:rPr>
                <w:b/>
                <w:bCs/>
                <w:color w:val="FFFFFF"/>
                <w:sz w:val="19"/>
                <w:szCs w:val="19"/>
              </w:rPr>
              <w:t xml:space="preserve">Element</w:t>
            </w:r>
          </w:p>
        </w:tc>
        <w:tc>
          <w:tcPr>
            <w:tcW w:type="dxa" w:w="7260"/>
            <w:tcBorders>
              <w:top w:val="single" w:color="CCCCCC" w:sz="2"/>
              <w:left w:val="single" w:color="CCCCCC" w:sz="2"/>
              <w:bottom w:val="single" w:color="CCCCCC" w:sz="2"/>
              <w:right w:val="single" w:color="CCCCCC" w:sz="2"/>
            </w:tcBorders>
            <w:shd w:fill="C4502E" w:val="clear"/>
            <w:tcMar>
              <w:top w:type="dxa" w:w="60"/>
              <w:left w:type="dxa" w:w="110"/>
              <w:bottom w:type="dxa" w:w="60"/>
              <w:right w:type="dxa" w:w="110"/>
            </w:tcMar>
          </w:tcPr>
          <w:p>
            <w:r>
              <w:rPr>
                <w:b/>
                <w:bCs/>
                <w:color w:val="FFFFFF"/>
                <w:sz w:val="19"/>
                <w:szCs w:val="19"/>
              </w:rPr>
              <w:t xml:space="preserve">Detail</w:t>
            </w:r>
          </w:p>
        </w:tc>
      </w:tr>
      <w:tr>
        <w:tc>
          <w:tcPr>
            <w:tcW w:type="dxa" w:w="2100"/>
            <w:tcBorders>
              <w:top w:val="single" w:color="CCCCCC" w:sz="2"/>
              <w:left w:val="single" w:color="CCCCCC" w:sz="2"/>
              <w:bottom w:val="single" w:color="CCCCCC" w:sz="2"/>
              <w:right w:val="single" w:color="CCCCCC" w:sz="2"/>
            </w:tcBorders>
            <w:shd w:fill="EDE9F2" w:val="clear"/>
            <w:tcMar>
              <w:top w:type="dxa" w:w="60"/>
              <w:left w:type="dxa" w:w="110"/>
              <w:bottom w:type="dxa" w:w="60"/>
              <w:right w:type="dxa" w:w="110"/>
            </w:tcMar>
          </w:tcPr>
          <w:p>
            <w:r>
              <w:rPr>
                <w:sz w:val="19"/>
                <w:szCs w:val="19"/>
              </w:rPr>
              <w:t xml:space="preserve">Where</w:t>
            </w:r>
          </w:p>
        </w:tc>
        <w:tc>
          <w:tcPr>
            <w:tcW w:type="dxa" w:w="7260"/>
            <w:tcBorders>
              <w:top w:val="single" w:color="CCCCCC" w:sz="2"/>
              <w:left w:val="single" w:color="CCCCCC" w:sz="2"/>
              <w:bottom w:val="single" w:color="CCCCCC" w:sz="2"/>
              <w:right w:val="single" w:color="CCCCCC" w:sz="2"/>
            </w:tcBorders>
            <w:shd w:fill="EDE9F2" w:val="clear"/>
            <w:tcMar>
              <w:top w:type="dxa" w:w="60"/>
              <w:left w:type="dxa" w:w="110"/>
              <w:bottom w:type="dxa" w:w="60"/>
              <w:right w:type="dxa" w:w="110"/>
            </w:tcMar>
          </w:tcPr>
          <w:p>
            <w:r>
              <w:rPr>
                <w:sz w:val="19"/>
                <w:szCs w:val="19"/>
              </w:rPr>
              <w:t xml:space="preserve">Among the refugees — Oresh, a gentle weaver “saved” from a world a PC may recognize.</w:t>
            </w:r>
          </w:p>
        </w:tc>
      </w:tr>
      <w:tr>
        <w:tc>
          <w:tcPr>
            <w:tcW w:type="dxa" w:w="2100"/>
            <w:tcBorders>
              <w:top w:val="single" w:color="CCCCCC" w:sz="2"/>
              <w:left w:val="single" w:color="CCCCCC" w:sz="2"/>
              <w:bottom w:val="single" w:color="CCCCCC" w:sz="2"/>
              <w:right w:val="single" w:color="CCCCCC" w:sz="2"/>
            </w:tcBorders>
            <w:shd w:fill="FFFFFF" w:val="clear"/>
            <w:tcMar>
              <w:top w:type="dxa" w:w="60"/>
              <w:left w:type="dxa" w:w="110"/>
              <w:bottom w:type="dxa" w:w="60"/>
              <w:right w:type="dxa" w:w="110"/>
            </w:tcMar>
          </w:tcPr>
          <w:p>
            <w:r>
              <w:rPr>
                <w:sz w:val="19"/>
                <w:szCs w:val="19"/>
              </w:rPr>
              <w:t xml:space="preserve">Find it with</w:t>
            </w:r>
          </w:p>
        </w:tc>
        <w:tc>
          <w:tcPr>
            <w:tcW w:type="dxa" w:w="7260"/>
            <w:tcBorders>
              <w:top w:val="single" w:color="CCCCCC" w:sz="2"/>
              <w:left w:val="single" w:color="CCCCCC" w:sz="2"/>
              <w:bottom w:val="single" w:color="CCCCCC" w:sz="2"/>
              <w:right w:val="single" w:color="CCCCCC" w:sz="2"/>
            </w:tcBorders>
            <w:shd w:fill="FFFFFF" w:val="clear"/>
            <w:tcMar>
              <w:top w:type="dxa" w:w="60"/>
              <w:left w:type="dxa" w:w="110"/>
              <w:bottom w:type="dxa" w:w="60"/>
              <w:right w:type="dxa" w:w="110"/>
            </w:tcMar>
          </w:tcPr>
          <w:p>
            <w:r>
              <w:t xml:space="preserve">Insight DC 12 to catch the wrongness; roleplay to draw it out.</w:t>
            </w:r>
          </w:p>
        </w:tc>
      </w:tr>
      <w:tr>
        <w:tc>
          <w:tcPr>
            <w:tcW w:type="dxa" w:w="2100"/>
            <w:tcBorders>
              <w:top w:val="single" w:color="CCCCCC" w:sz="2"/>
              <w:left w:val="single" w:color="CCCCCC" w:sz="2"/>
              <w:bottom w:val="single" w:color="CCCCCC" w:sz="2"/>
              <w:right w:val="single" w:color="CCCCCC" w:sz="2"/>
            </w:tcBorders>
            <w:shd w:fill="EDE9F2" w:val="clear"/>
            <w:tcMar>
              <w:top w:type="dxa" w:w="60"/>
              <w:left w:type="dxa" w:w="110"/>
              <w:bottom w:type="dxa" w:w="60"/>
              <w:right w:type="dxa" w:w="110"/>
            </w:tcMar>
          </w:tcPr>
          <w:p>
            <w:r>
              <w:rPr>
                <w:sz w:val="19"/>
                <w:szCs w:val="19"/>
              </w:rPr>
              <w:t xml:space="preserve">What they learn</w:t>
            </w:r>
          </w:p>
        </w:tc>
        <w:tc>
          <w:tcPr>
            <w:tcW w:type="dxa" w:w="7260"/>
            <w:tcBorders>
              <w:top w:val="single" w:color="CCCCCC" w:sz="2"/>
              <w:left w:val="single" w:color="CCCCCC" w:sz="2"/>
              <w:bottom w:val="single" w:color="CCCCCC" w:sz="2"/>
              <w:right w:val="single" w:color="CCCCCC" w:sz="2"/>
            </w:tcBorders>
            <w:shd w:fill="EDE9F2" w:val="clear"/>
            <w:tcMar>
              <w:top w:type="dxa" w:w="60"/>
              <w:left w:type="dxa" w:w="110"/>
              <w:bottom w:type="dxa" w:w="60"/>
              <w:right w:type="dxa" w:w="110"/>
            </w:tcMar>
          </w:tcPr>
          <w:p>
            <w:r>
              <w:rPr>
                <w:sz w:val="19"/>
                <w:szCs w:val="19"/>
              </w:rPr>
              <w:t xml:space="preserve">Oresh describes her home in loving detail — then, an hour later, describes it again with one detail changed (a daughter alive in one telling, never born in the other). She does not notice. She is calm, content, and very slightly not a person.</w:t>
            </w:r>
          </w:p>
        </w:tc>
      </w:tr>
      <w:tr>
        <w:tc>
          <w:tcPr>
            <w:tcW w:type="dxa" w:w="2100"/>
            <w:tcBorders>
              <w:top w:val="single" w:color="CCCCCC" w:sz="2"/>
              <w:left w:val="single" w:color="CCCCCC" w:sz="2"/>
              <w:bottom w:val="single" w:color="CCCCCC" w:sz="2"/>
              <w:right w:val="single" w:color="CCCCCC" w:sz="2"/>
            </w:tcBorders>
            <w:shd w:fill="FFFFFF" w:val="clear"/>
            <w:tcMar>
              <w:top w:type="dxa" w:w="60"/>
              <w:left w:type="dxa" w:w="110"/>
              <w:bottom w:type="dxa" w:w="60"/>
              <w:right w:type="dxa" w:w="110"/>
            </w:tcMar>
          </w:tcPr>
          <w:p>
            <w:r>
              <w:rPr>
                <w:sz w:val="19"/>
                <w:szCs w:val="19"/>
              </w:rPr>
              <w:t xml:space="preserve">Why it damns</w:t>
            </w:r>
          </w:p>
        </w:tc>
        <w:tc>
          <w:tcPr>
            <w:tcW w:type="dxa" w:w="7260"/>
            <w:tcBorders>
              <w:top w:val="single" w:color="CCCCCC" w:sz="2"/>
              <w:left w:val="single" w:color="CCCCCC" w:sz="2"/>
              <w:bottom w:val="single" w:color="CCCCCC" w:sz="2"/>
              <w:right w:val="single" w:color="CCCCCC" w:sz="2"/>
            </w:tcBorders>
            <w:shd w:fill="FFFFFF" w:val="clear"/>
            <w:tcMar>
              <w:top w:type="dxa" w:w="60"/>
              <w:left w:type="dxa" w:w="110"/>
              <w:bottom w:type="dxa" w:w="60"/>
              <w:right w:type="dxa" w:w="110"/>
            </w:tcMar>
          </w:tcPr>
          <w:p>
            <w:r>
              <w:rPr>
                <w:sz w:val="19"/>
                <w:szCs w:val="19"/>
              </w:rPr>
              <w:t xml:space="preserve">Whatever “rescue” meant for Oresh, it left her altered and unaware. It looks like the rescuer broke her.</w:t>
            </w:r>
          </w:p>
        </w:tc>
      </w:tr>
    </w:tbl>
    <w:p>
      <w:pPr>
        <w:spacing w:after="160" w:before="80"/>
      </w:pPr>
      <w:r>
        <w:rPr>
          <w:b/>
          <w:bCs/>
          <w:color w:val="C4502E"/>
        </w:rPr>
        <w:t xml:space="preserve">Plants: </w:t>
      </w:r>
      <w:r>
        <w:rPr>
          <w:i/>
          <w:iCs/>
        </w:rPr>
        <w:t xml:space="preserve">editions drift — an imperfect copy diverges from its original; the same flaw waking Dushara (§10). Oresh is what the party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2E" w:sz="4"/>
              <w:left w:val="single" w:color="B8862E" w:sz="4"/>
              <w:bottom w:val="single" w:color="B8862E" w:sz="4"/>
              <w:right w:val="single" w:color="B8862E" w:sz="4"/>
            </w:tcBorders>
            <w:shd w:fill="F3EEDC" w:val="clear"/>
            <w:tcMar>
              <w:top w:type="dxa" w:w="120"/>
              <w:left w:type="dxa" w:w="180"/>
              <w:bottom w:type="dxa" w:w="120"/>
              <w:right w:type="dxa" w:w="180"/>
            </w:tcMar>
          </w:tcPr>
          <w:p>
            <w:pPr>
              <w:spacing w:after="80"/>
            </w:pPr>
            <w:r>
              <w:rPr>
                <w:b/>
                <w:bCs/>
                <w:caps/>
                <w:color w:val="B8862E"/>
                <w:sz w:val="24"/>
                <w:szCs w:val="24"/>
              </w:rPr>
              <w:t xml:space="preserve">Ending Session A — the cliffhanger</w:t>
            </w:r>
          </w:p>
          <w:p>
            <w:pPr>
              <w:spacing w:after="120" w:line="276"/>
            </w:pPr>
            <w:r>
              <w:t xml:space="preserve">Land the session on dread and an unresolved decision, not on action. Good closing beats:</w:t>
            </w:r>
          </w:p>
          <w:p>
            <w:pPr>
              <w:pStyle w:val="ListParagraph"/>
              <w:numPr>
                <w:ilvl w:val="0"/>
                <w:numId w:val="3"/>
              </w:numPr>
              <w:spacing w:after="60" w:line="264"/>
            </w:pPr>
            <w:r>
              <w:t xml:space="preserve">Oresh, mid-goodbye, repeats the changed detail a third way — and smiles.</w:t>
            </w:r>
          </w:p>
          <w:p>
            <w:pPr>
              <w:pStyle w:val="ListParagraph"/>
              <w:numPr>
                <w:ilvl w:val="0"/>
                <w:numId w:val="3"/>
              </w:numPr>
              <w:spacing w:after="60" w:line="264"/>
            </w:pPr>
            <w:r>
              <w:t xml:space="preserve">al-ʿūzzā (the huntress) appears at the convoy’s edge and delivers her taunt (Clue 4) — sharpening the question without answering it.</w:t>
            </w:r>
          </w:p>
          <w:p>
            <w:pPr>
              <w:pStyle w:val="ListParagraph"/>
              <w:numPr>
                <w:ilvl w:val="0"/>
                <w:numId w:val="3"/>
              </w:numPr>
              <w:spacing w:after="60" w:line="264"/>
            </w:pPr>
            <w:r>
              <w:rPr>
                <w:i/>
                <w:iCs/>
              </w:rPr>
              <w:t xml:space="preserve">A player says some version of “we have to confront him.” </w:t>
            </w:r>
            <w:r>
              <w:t xml:space="preserve">End there, with the feast still ahead.</w:t>
            </w:r>
          </w:p>
          <w:p>
            <w:pPr>
              <w:spacing w:after="120" w:line="276"/>
            </w:pPr>
            <w:r>
              <w:t xml:space="preserve">The cliffhanger is a </w:t>
            </w:r>
            <w:r>
              <w:rPr>
                <w:b/>
                <w:bCs/>
              </w:rPr>
              <w:t xml:space="preserve">decision</w:t>
            </w:r>
            <w:r>
              <w:t xml:space="preserve">, left to ride across the real break: confront him now on what they have, or wait and dig for proof? If they come back resolved to accuse, open Session B with </w:t>
            </w:r>
            <w:r>
              <w:rPr>
                <w:b/>
                <w:bCs/>
              </w:rPr>
              <w:t xml:space="preserve">The Break</w:t>
            </w:r>
            <w:r>
              <w:t xml:space="preserve">. If they come back wanting certainty, reward it — Clue 3 is there to be found.</w:t>
            </w:r>
          </w:p>
        </w:tc>
      </w:tr>
    </w:tbl>
    <w:p>
      <w:r>
        <w:br w:type="page"/>
      </w:r>
    </w:p>
    <w:p>
      <w:pPr>
        <w:pStyle w:val="Heading1"/>
      </w:pPr>
      <w:r>
        <w:t xml:space="preserve">THE BREAK — If They Confront Early</w:t>
      </w:r>
    </w:p>
    <w:p>
      <w:pPr>
        <w:spacing w:after="120" w:line="276"/>
      </w:pPr>
      <w:r>
        <w:t xml:space="preserve">This is an </w:t>
      </w:r>
      <w:r>
        <w:rPr>
          <w:i/>
          <w:iCs/>
        </w:rPr>
        <w:t xml:space="preserve">interstitial</w:t>
      </w:r>
      <w:r>
        <w:t xml:space="preserve">, run </w:t>
      </w:r>
      <w:r>
        <w:rPr>
          <w:b/>
          <w:bCs/>
        </w:rPr>
        <w:t xml:space="preserve">between</w:t>
      </w:r>
      <w:r>
        <w:t xml:space="preserve"> the two sessions. If Session A ended with the party resolved to accuse “Dionysus” on the two damning clues alone, the confrontation happens </w:t>
      </w:r>
      <w:r>
        <w:rPr>
          <w:b/>
          <w:bCs/>
        </w:rPr>
        <w:t xml:space="preserve">at the top of Session B — before they have the exonerating clue</w:t>
      </w:r>
      <w:r>
        <w:t xml:space="preserve">. This is the designed trap, not a failure state. (If they chose to wait for proof, skip this section and run Session B as written; reward their caution by making Clue 3 readily findable.)</w:t>
      </w:r>
    </w:p>
    <w:p>
      <w:pPr>
        <w:spacing w:after="120" w:line="276"/>
      </w:pPr>
      <w:r>
        <w:t xml:space="preserve">Letting the accusation sit across the real-world break is the point: the players stew on their certainty, walk in having already burned their access, and Session B becomes the </w:t>
      </w:r>
      <w:r>
        <w:rPr>
          <w:i/>
          <w:iCs/>
        </w:rPr>
        <w:t xml:space="preserve">guiltier, harder road</w:t>
      </w:r>
      <w:r>
        <w:t xml:space="preserve"> to the same truth.</w:t>
      </w:r>
    </w:p>
    <w:p>
      <w:pPr>
        <w:spacing w:after="120" w:line="276"/>
      </w:pPr>
      <w:r>
        <w:t xml:space="preserve">When they accuse him, </w:t>
      </w:r>
      <w:r>
        <w:rPr>
          <w:b/>
          <w:bCs/>
        </w:rPr>
        <w:t xml:space="preserve">al-Kutbā produces the exonerating evidence himself</w:t>
      </w:r>
      <w:r>
        <w:t xml:space="preserve"> — calm, wounded, and true. He unrolls the obituary (Clue 3) with his own hand. The party has just accused a grieving rescuer of villainy to his face, before the refugees who adore him. They become a small </w:t>
      </w:r>
      <w:r>
        <w:rPr>
          <w:i/>
          <w:iCs/>
        </w:rPr>
        <w:t xml:space="preserve">hamartia</w:t>
      </w:r>
      <w:r>
        <w:t xml:space="preserve"> inside the larger one — a rush to judgment the missing clue would have corrected.</w:t>
      </w:r>
    </w:p>
    <w:p>
      <w:pPr>
        <w:pBdr>
          <w:left w:val="single" w:color="B8862E" w:sz="18" w:space="12"/>
        </w:pBdr>
        <w:spacing w:after="160" w:before="80" w:line="288"/>
        <w:ind w:left="360" w:right="360"/>
      </w:pPr>
      <w:r>
        <w:rPr>
          <w:i/>
          <w:iCs/>
          <w:color w:val="33304A"/>
        </w:rPr>
        <w:t xml:space="preserve">He does not rage. He sets down his cup and unrolls a scroll with his own hand — an obituary, ink still wet, for someone he loved. “You think I am a thief,” he says quietly, and the refugees behind him have gone silent and cold toward you. “I am a man who could not let go. Is that the crime you came to punish?”</w:t>
      </w:r>
    </w:p>
    <w:p>
      <w:pPr>
        <w:spacing w:after="120" w:line="276"/>
      </w:pPr>
      <w:r>
        <w:t xml:space="preserve">Note: this means the exonerating Clue 3 is </w:t>
      </w:r>
      <w:r>
        <w:rPr>
          <w:b/>
          <w:bCs/>
        </w:rPr>
        <w:t xml:space="preserve">delivered through The Break itself</w:t>
      </w:r>
      <w:r>
        <w:t xml:space="preserve">. The tragic synthesis still lands — just in the worst possible way, with the party already in the wrong. After this scene, proceed into the Confrontation beats (below), which now run from a position of guilt rather than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3B2E" w:sz="4"/>
              <w:left w:val="single" w:color="B23B2E" w:sz="4"/>
              <w:bottom w:val="single" w:color="B23B2E" w:sz="4"/>
              <w:right w:val="single" w:color="B23B2E" w:sz="4"/>
            </w:tcBorders>
            <w:shd w:fill="F6E6DF" w:val="clear"/>
            <w:tcMar>
              <w:top w:type="dxa" w:w="120"/>
              <w:left w:type="dxa" w:w="180"/>
              <w:bottom w:type="dxa" w:w="120"/>
              <w:right w:type="dxa" w:w="180"/>
            </w:tcMar>
          </w:tcPr>
          <w:p>
            <w:pPr>
              <w:spacing w:after="80"/>
            </w:pPr>
            <w:r>
              <w:rPr>
                <w:b/>
                <w:bCs/>
                <w:caps/>
                <w:color w:val="B23B2E"/>
                <w:sz w:val="24"/>
                <w:szCs w:val="24"/>
              </w:rPr>
              <w:t xml:space="preserve">Trap consequences (wired to the Ledger — §13)</w:t>
            </w:r>
          </w:p>
          <w:p>
            <w:pPr>
              <w:spacing w:after="120" w:line="276"/>
            </w:pPr>
            <w:r>
              <w:t xml:space="preserve">Apply the moment the party confronts on fewer than three clues. Scale by how publicly/aggressively they accused.</w:t>
            </w:r>
          </w:p>
          <w:p>
            <w:pPr>
              <w:pStyle w:val="ListParagraph"/>
              <w:numPr>
                <w:ilvl w:val="0"/>
                <w:numId w:val="3"/>
              </w:numPr>
              <w:spacing w:after="60" w:line="264"/>
            </w:pPr>
            <w:r>
              <w:rPr>
                <w:b/>
                <w:bCs/>
                <w:color w:val="2E9E8F"/>
              </w:rPr>
              <w:t xml:space="preserve">Tethyne ledger swing: </w:t>
            </w:r>
            <w:r>
              <w:t xml:space="preserve">−1 Account (real, mechanical). The convoy crew witnessed the party slander their beloved patron; you owe the Tethyne for the breach of their hospitality. A </w:t>
            </w:r>
            <w:r>
              <w:rPr>
                <w:i/>
                <w:iCs/>
              </w:rPr>
              <w:t xml:space="preserve">hostile</w:t>
            </w:r>
            <w:r>
              <w:t xml:space="preserve"> accusation (drawn weapons, public spectacle) is −2 instead, which may tip toward </w:t>
            </w:r>
            <w:r>
              <w:rPr>
                <w:b/>
                <w:bCs/>
              </w:rPr>
              <w:t xml:space="preserve">Enmity</w:t>
            </w:r>
            <w:r>
              <w:t xml:space="preserve"> if the party already owed them.</w:t>
            </w:r>
          </w:p>
          <w:p>
            <w:pPr>
              <w:pStyle w:val="ListParagraph"/>
              <w:numPr>
                <w:ilvl w:val="0"/>
                <w:numId w:val="3"/>
              </w:numPr>
              <w:spacing w:after="60" w:line="264"/>
            </w:pPr>
            <w:r>
              <w:rPr>
                <w:b/>
                <w:bCs/>
                <w:color w:val="C4502E"/>
              </w:rPr>
              <w:t xml:space="preserve">Errata = STORY consequence, not a ledger </w:t>
            </w:r>
            <w:r>
              <w:t xml:space="preserve">(the Errata isn’t a faction account, per §13). al-Kutbā now </w:t>
            </w:r>
            <w:r>
              <w:rPr>
                <w:i/>
                <w:iCs/>
              </w:rPr>
              <w:t xml:space="preserve">knows the party is dangerous to him</w:t>
            </w:r>
            <w:r>
              <w:t xml:space="preserve">. He withdraws warmth, watches them, and accelerates his own plans — the rest of Session B unfolds with a wary, guarded patron instead of a loving one.</w:t>
            </w:r>
          </w:p>
          <w:p>
            <w:pPr>
              <w:pStyle w:val="ListParagraph"/>
              <w:numPr>
                <w:ilvl w:val="0"/>
                <w:numId w:val="3"/>
              </w:numPr>
              <w:spacing w:after="60" w:line="264"/>
            </w:pPr>
            <w:r>
              <w:rPr>
                <w:b/>
                <w:bCs/>
              </w:rPr>
              <w:t xml:space="preserve">Refugee standing: </w:t>
            </w:r>
            <w:r>
              <w:t xml:space="preserve">the chorus turns. NPCs the party befriended (e.g. Oresh) become wary. Social, not mechanical — but it should sting.</w:t>
            </w:r>
          </w:p>
          <w:p>
            <w:pPr>
              <w:spacing w:after="120" w:line="276"/>
            </w:pPr>
            <w:r>
              <w:rPr>
                <w:b/>
                <w:bCs/>
              </w:rPr>
              <w:t xml:space="preserve">The doubled guilt: </w:t>
            </w:r>
            <w:r>
              <w:t xml:space="preserve">the party carries the memory of having wronged him </w:t>
            </w:r>
            <w:r>
              <w:rPr>
                <w:i/>
                <w:iCs/>
              </w:rPr>
              <w:t xml:space="preserve">even though he wronged them first</w:t>
            </w:r>
            <w:r>
              <w:t xml:space="preserve">. They were right about the crime and wrong about the man, in the same breath. That is the tragedy doing its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FA0" w:sz="4"/>
              <w:left w:val="single" w:color="6B4FA0" w:sz="4"/>
              <w:bottom w:val="single" w:color="6B4FA0" w:sz="4"/>
              <w:right w:val="single" w:color="6B4FA0" w:sz="4"/>
            </w:tcBorders>
            <w:shd w:fill="EDE9F2" w:val="clear"/>
            <w:tcMar>
              <w:top w:type="dxa" w:w="120"/>
              <w:left w:type="dxa" w:w="180"/>
              <w:bottom w:type="dxa" w:w="120"/>
              <w:right w:type="dxa" w:w="180"/>
            </w:tcMar>
          </w:tcPr>
          <w:p>
            <w:pPr>
              <w:spacing w:after="80"/>
            </w:pPr>
            <w:r>
              <w:rPr>
                <w:b/>
                <w:bCs/>
                <w:caps/>
                <w:color w:val="6B4FA0"/>
                <w:sz w:val="24"/>
                <w:szCs w:val="24"/>
              </w:rPr>
              <w:t xml:space="preserve">Why the trap is fair</w:t>
            </w:r>
          </w:p>
          <w:p>
            <w:pPr>
              <w:spacing w:after="120" w:line="276"/>
            </w:pPr>
            <w:r>
              <w:t xml:space="preserve">Telegraph it across Session A. The two damning clues should feel </w:t>
            </w:r>
            <w:r>
              <w:rPr>
                <w:i/>
                <w:iCs/>
              </w:rPr>
              <w:t xml:space="preserve">suggestive, not conclusive</w:t>
            </w:r>
            <w:r>
              <w:t xml:space="preserve"> — a careful player will sense a missing piece. If a player says “we should be sure before we move,” reward that instinct. The trap punishes </w:t>
            </w:r>
            <w:r>
              <w:rPr>
                <w:i/>
                <w:iCs/>
              </w:rPr>
              <w:t xml:space="preserve">certainty</w:t>
            </w:r>
            <w:r>
              <w:t xml:space="preserve">, not investigation — which is exactly the scribe’s own sin (he was too sure a perfect copy was salvation). The party’s hamartia rhymes with al-Kutbā’s.</w:t>
            </w:r>
          </w:p>
        </w:tc>
      </w:tr>
    </w:tbl>
    <w:p>
      <w:r>
        <w:br w:type="page"/>
      </w:r>
    </w:p>
    <w:p>
      <w:pPr>
        <w:pStyle w:val="Heading1"/>
      </w:pPr>
      <w:r>
        <w:t xml:space="preserve">SESSION B — The Turn</w:t>
      </w:r>
    </w:p>
    <w:p>
      <w:pPr>
        <w:spacing w:after="120" w:line="276"/>
      </w:pPr>
      <w:r>
        <w:t xml:space="preserve">If they did </w:t>
      </w:r>
      <w:r>
        <w:rPr>
          <w:i/>
          <w:iCs/>
        </w:rPr>
        <w:t xml:space="preserve">not</w:t>
      </w:r>
      <w:r>
        <w:t xml:space="preserve"> confront early: deliver the </w:t>
      </w:r>
      <w:r>
        <w:rPr>
          <w:b/>
          <w:bCs/>
          <w:color w:val="2E7D32"/>
        </w:rPr>
        <w:t xml:space="preserve">exonerating</w:t>
      </w:r>
      <w:r>
        <w:t xml:space="preserve"> third clue, then run the confrontation at the feast. The third clue converts the players’ anger into grief — it must land </w:t>
      </w:r>
      <w:r>
        <w:rPr>
          <w:i/>
          <w:iCs/>
        </w:rPr>
        <w:t xml:space="preserve">before</w:t>
      </w:r>
      <w:r>
        <w:t xml:space="preserve"> the confrontation resolves. If they </w:t>
      </w:r>
      <w:r>
        <w:rPr>
          <w:i/>
          <w:iCs/>
        </w:rPr>
        <w:t xml:space="preserve">did</w:t>
      </w:r>
      <w:r>
        <w:t xml:space="preserve"> confront early (The Break, above), Clue 3 has already been forced on them; skip straight to the Confrontation beats and run them from guilt.</w:t>
      </w:r>
    </w:p>
    <w:p>
      <w:pPr>
        <w:pStyle w:val="Heading2"/>
      </w:pPr>
      <w:r>
        <w:t xml:space="preserve">Clue 3 — The Obituary With Wet Ink</w:t>
      </w:r>
    </w:p>
    <w:p>
      <w:pPr>
        <w:shd w:fill="2E7D32" w:val="clear"/>
        <w:spacing w:after="80"/>
        <w:ind w:left="0"/>
      </w:pPr>
      <w:r>
        <w:rPr>
          <w:b/>
          <w:bCs/>
          <w:caps/>
          <w:color w:val="FFFFFF"/>
          <w:sz w:val="18"/>
          <w:szCs w:val="18"/>
        </w:rPr>
        <w:t xml:space="preserve">EXONERATING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CCCCC" w:sz="2"/>
              <w:left w:val="single" w:color="CCCCCC" w:sz="2"/>
              <w:bottom w:val="single" w:color="CCCCCC" w:sz="2"/>
              <w:right w:val="single" w:color="CCCCCC" w:sz="2"/>
            </w:tcBorders>
            <w:shd w:fill="2E7D32" w:val="clear"/>
            <w:tcMar>
              <w:top w:type="dxa" w:w="60"/>
              <w:left w:type="dxa" w:w="110"/>
              <w:bottom w:type="dxa" w:w="60"/>
              <w:right w:type="dxa" w:w="110"/>
            </w:tcMar>
          </w:tcPr>
          <w:p>
            <w:r>
              <w:rPr>
                <w:b/>
                <w:bCs/>
                <w:color w:val="FFFFFF"/>
                <w:sz w:val="19"/>
                <w:szCs w:val="19"/>
              </w:rPr>
              <w:t xml:space="preserve">Element</w:t>
            </w:r>
          </w:p>
        </w:tc>
        <w:tc>
          <w:tcPr>
            <w:tcW w:type="dxa" w:w="7260"/>
            <w:tcBorders>
              <w:top w:val="single" w:color="CCCCCC" w:sz="2"/>
              <w:left w:val="single" w:color="CCCCCC" w:sz="2"/>
              <w:bottom w:val="single" w:color="CCCCCC" w:sz="2"/>
              <w:right w:val="single" w:color="CCCCCC" w:sz="2"/>
            </w:tcBorders>
            <w:shd w:fill="2E7D32" w:val="clear"/>
            <w:tcMar>
              <w:top w:type="dxa" w:w="60"/>
              <w:left w:type="dxa" w:w="110"/>
              <w:bottom w:type="dxa" w:w="60"/>
              <w:right w:type="dxa" w:w="110"/>
            </w:tcMar>
          </w:tcPr>
          <w:p>
            <w:r>
              <w:rPr>
                <w:b/>
                <w:bCs/>
                <w:color w:val="FFFFFF"/>
                <w:sz w:val="19"/>
                <w:szCs w:val="19"/>
              </w:rPr>
              <w:t xml:space="preserve">Detail</w:t>
            </w:r>
          </w:p>
        </w:tc>
      </w:tr>
      <w:tr>
        <w:tc>
          <w:tcPr>
            <w:tcW w:type="dxa" w:w="2100"/>
            <w:tcBorders>
              <w:top w:val="single" w:color="CCCCCC" w:sz="2"/>
              <w:left w:val="single" w:color="CCCCCC" w:sz="2"/>
              <w:bottom w:val="single" w:color="CCCCCC" w:sz="2"/>
              <w:right w:val="single" w:color="CCCCCC" w:sz="2"/>
            </w:tcBorders>
            <w:shd w:fill="EDE9F2" w:val="clear"/>
            <w:tcMar>
              <w:top w:type="dxa" w:w="60"/>
              <w:left w:type="dxa" w:w="110"/>
              <w:bottom w:type="dxa" w:w="60"/>
              <w:right w:type="dxa" w:w="110"/>
            </w:tcMar>
          </w:tcPr>
          <w:p>
            <w:r>
              <w:rPr>
                <w:sz w:val="19"/>
                <w:szCs w:val="19"/>
              </w:rPr>
              <w:t xml:space="preserve">Where</w:t>
            </w:r>
          </w:p>
        </w:tc>
        <w:tc>
          <w:tcPr>
            <w:tcW w:type="dxa" w:w="7260"/>
            <w:tcBorders>
              <w:top w:val="single" w:color="CCCCCC" w:sz="2"/>
              <w:left w:val="single" w:color="CCCCCC" w:sz="2"/>
              <w:bottom w:val="single" w:color="CCCCCC" w:sz="2"/>
              <w:right w:val="single" w:color="CCCCCC" w:sz="2"/>
            </w:tcBorders>
            <w:shd w:fill="EDE9F2" w:val="clear"/>
            <w:tcMar>
              <w:top w:type="dxa" w:w="60"/>
              <w:left w:type="dxa" w:w="110"/>
              <w:bottom w:type="dxa" w:w="60"/>
              <w:right w:type="dxa" w:w="110"/>
            </w:tcMar>
          </w:tcPr>
          <w:p>
            <w:r>
              <w:rPr>
                <w:sz w:val="19"/>
                <w:szCs w:val="19"/>
              </w:rPr>
              <w:t xml:space="preserve">The Reveler’s reliquary in the Vintner’s Car — a sealed scroll-case. (If The Break fired and he relocated it, the party must track it down first.)</w:t>
            </w:r>
          </w:p>
        </w:tc>
      </w:tr>
      <w:tr>
        <w:tc>
          <w:tcPr>
            <w:tcW w:type="dxa" w:w="2100"/>
            <w:tcBorders>
              <w:top w:val="single" w:color="CCCCCC" w:sz="2"/>
              <w:left w:val="single" w:color="CCCCCC" w:sz="2"/>
              <w:bottom w:val="single" w:color="CCCCCC" w:sz="2"/>
              <w:right w:val="single" w:color="CCCCCC" w:sz="2"/>
            </w:tcBorders>
            <w:shd w:fill="FFFFFF" w:val="clear"/>
            <w:tcMar>
              <w:top w:type="dxa" w:w="60"/>
              <w:left w:type="dxa" w:w="110"/>
              <w:bottom w:type="dxa" w:w="60"/>
              <w:right w:type="dxa" w:w="110"/>
            </w:tcMar>
          </w:tcPr>
          <w:p>
            <w:r>
              <w:rPr>
                <w:sz w:val="19"/>
                <w:szCs w:val="19"/>
              </w:rPr>
              <w:t xml:space="preserve">Find it with</w:t>
            </w:r>
          </w:p>
        </w:tc>
        <w:tc>
          <w:tcPr>
            <w:tcW w:type="dxa" w:w="7260"/>
            <w:tcBorders>
              <w:top w:val="single" w:color="CCCCCC" w:sz="2"/>
              <w:left w:val="single" w:color="CCCCCC" w:sz="2"/>
              <w:bottom w:val="single" w:color="CCCCCC" w:sz="2"/>
              <w:right w:val="single" w:color="CCCCCC" w:sz="2"/>
            </w:tcBorders>
            <w:shd w:fill="FFFFFF" w:val="clear"/>
            <w:tcMar>
              <w:top w:type="dxa" w:w="60"/>
              <w:left w:type="dxa" w:w="110"/>
              <w:bottom w:type="dxa" w:w="60"/>
              <w:right w:type="dxa" w:w="110"/>
            </w:tcMar>
          </w:tcPr>
          <w:p>
            <w:r>
              <w:t xml:space="preserve">Sleight of Hand / Thieves’ Tools DC 15 to open; Arcana DC 16 to read the Sijill hand. Or al-Kutbā unrolls it himself during The Break.</w:t>
            </w:r>
          </w:p>
        </w:tc>
      </w:tr>
      <w:tr>
        <w:tc>
          <w:tcPr>
            <w:tcW w:type="dxa" w:w="2100"/>
            <w:tcBorders>
              <w:top w:val="single" w:color="CCCCCC" w:sz="2"/>
              <w:left w:val="single" w:color="CCCCCC" w:sz="2"/>
              <w:bottom w:val="single" w:color="CCCCCC" w:sz="2"/>
              <w:right w:val="single" w:color="CCCCCC" w:sz="2"/>
            </w:tcBorders>
            <w:shd w:fill="EDE9F2" w:val="clear"/>
            <w:tcMar>
              <w:top w:type="dxa" w:w="60"/>
              <w:left w:type="dxa" w:w="110"/>
              <w:bottom w:type="dxa" w:w="60"/>
              <w:right w:type="dxa" w:w="110"/>
            </w:tcMar>
          </w:tcPr>
          <w:p>
            <w:r>
              <w:rPr>
                <w:sz w:val="19"/>
                <w:szCs w:val="19"/>
              </w:rPr>
              <w:t xml:space="preserve">What they find</w:t>
            </w:r>
          </w:p>
        </w:tc>
        <w:tc>
          <w:tcPr>
            <w:tcW w:type="dxa" w:w="7260"/>
            <w:tcBorders>
              <w:top w:val="single" w:color="CCCCCC" w:sz="2"/>
              <w:left w:val="single" w:color="CCCCCC" w:sz="2"/>
              <w:bottom w:val="single" w:color="CCCCCC" w:sz="2"/>
              <w:right w:val="single" w:color="CCCCCC" w:sz="2"/>
            </w:tcBorders>
            <w:shd w:fill="EDE9F2" w:val="clear"/>
            <w:tcMar>
              <w:top w:type="dxa" w:w="60"/>
              <w:left w:type="dxa" w:w="110"/>
              <w:bottom w:type="dxa" w:w="60"/>
              <w:right w:type="dxa" w:w="110"/>
            </w:tcMar>
          </w:tcPr>
          <w:p>
            <w:r>
              <w:rPr>
                <w:sz w:val="19"/>
                <w:szCs w:val="19"/>
              </w:rPr>
              <w:t xml:space="preserve">A death-record — an obituary — written by a god for a god. The subject: “Dushara, my brother.” The signature: “al-Kutbā.” The ink is still wet, centuries on. It is not a trophy. It is a grief that will not dry — a brother the scribe could not stop mourning, could not let go, and so kept.</w:t>
            </w:r>
          </w:p>
        </w:tc>
      </w:tr>
      <w:tr>
        <w:tc>
          <w:tcPr>
            <w:tcW w:type="dxa" w:w="2100"/>
            <w:tcBorders>
              <w:top w:val="single" w:color="CCCCCC" w:sz="2"/>
              <w:left w:val="single" w:color="CCCCCC" w:sz="2"/>
              <w:bottom w:val="single" w:color="CCCCCC" w:sz="2"/>
              <w:right w:val="single" w:color="CCCCCC" w:sz="2"/>
            </w:tcBorders>
            <w:shd w:fill="FFFFFF" w:val="clear"/>
            <w:tcMar>
              <w:top w:type="dxa" w:w="60"/>
              <w:left w:type="dxa" w:w="110"/>
              <w:bottom w:type="dxa" w:w="60"/>
              <w:right w:type="dxa" w:w="110"/>
            </w:tcMar>
          </w:tcPr>
          <w:p>
            <w:r>
              <w:rPr>
                <w:sz w:val="19"/>
                <w:szCs w:val="19"/>
              </w:rPr>
              <w:t xml:space="preserve">Why it exonerates</w:t>
            </w:r>
          </w:p>
        </w:tc>
        <w:tc>
          <w:tcPr>
            <w:tcW w:type="dxa" w:w="7260"/>
            <w:tcBorders>
              <w:top w:val="single" w:color="CCCCCC" w:sz="2"/>
              <w:left w:val="single" w:color="CCCCCC" w:sz="2"/>
              <w:bottom w:val="single" w:color="CCCCCC" w:sz="2"/>
              <w:right w:val="single" w:color="CCCCCC" w:sz="2"/>
            </w:tcBorders>
            <w:shd w:fill="FFFFFF" w:val="clear"/>
            <w:tcMar>
              <w:top w:type="dxa" w:w="60"/>
              <w:left w:type="dxa" w:w="110"/>
              <w:bottom w:type="dxa" w:w="60"/>
              <w:right w:type="dxa" w:w="110"/>
            </w:tcMar>
          </w:tcPr>
          <w:p>
            <w:r>
              <w:rPr>
                <w:sz w:val="19"/>
                <w:szCs w:val="19"/>
              </w:rPr>
              <w:t xml:space="preserve">It reframes everything. The fidelity-ledger, the altered refugees — these were not a predator’s harvest. They were a grieving man doing to strangers what he first did to his own brother: refusing to let the loved dead be lost. The crime is love that would not accept an ending.</w:t>
            </w:r>
          </w:p>
        </w:tc>
      </w:tr>
    </w:tbl>
    <w:p>
      <w:pPr>
        <w:spacing w:after="160" w:before="80"/>
      </w:pPr>
      <w:r>
        <w:rPr>
          <w:b/>
          <w:bCs/>
          <w:color w:val="2E7D32"/>
        </w:rPr>
        <w:t xml:space="preserve">Plants: </w:t>
      </w:r>
      <w:r>
        <w:rPr>
          <w:i/>
          <w:iCs/>
        </w:rPr>
        <w:t xml:space="preserve">the face is a dead twin’s; the rescuer is the brother who archived him out of grief. Wet ink = the record is unfinished — Dushara is not entirely gone (§10).</w:t>
      </w:r>
    </w:p>
    <w:p>
      <w:pPr>
        <w:spacing w:after="120" w:line="276"/>
      </w:pPr>
      <w:r>
        <w:rPr>
          <w:b/>
          <w:bCs/>
        </w:rPr>
        <w:t xml:space="preserve">The tragic synthesis (say it aloud only if the table doesn’t reach it): </w:t>
      </w:r>
      <w:r>
        <w:t xml:space="preserve">Clues 1+2 say </w:t>
      </w:r>
      <w:r>
        <w:rPr>
          <w:i/>
          <w:iCs/>
        </w:rPr>
        <w:t xml:space="preserve">“he treats people as kept copies.”</w:t>
      </w:r>
      <w:r>
        <w:t xml:space="preserve"> Clue 3 says </w:t>
      </w:r>
      <w:r>
        <w:rPr>
          <w:i/>
          <w:iCs/>
        </w:rPr>
        <w:t xml:space="preserve">“because he could not bear to lose anyone, ever, starting with his brother.”</w:t>
      </w:r>
      <w:r>
        <w:t xml:space="preserve"> Both are true. That is the Peripeteia.</w:t>
      </w:r>
    </w:p>
    <w:p>
      <w:pPr>
        <w:pBdr>
          <w:bottom w:val="single" w:color="6B4FA0" w:sz="6" w:space="1"/>
        </w:pBdr>
        <w:spacing w:after="140" w:before="40"/>
      </w:pPr>
      <w:r>
        <w:t xml:space="preserve"/>
      </w:r>
    </w:p>
    <w:p>
      <w:pPr>
        <w:pStyle w:val="Heading2"/>
      </w:pPr>
      <w:r>
        <w:t xml:space="preserve">The Confrontation — The Feast</w:t>
      </w:r>
    </w:p>
    <w:p>
      <w:pPr>
        <w:spacing w:after="120" w:line="276"/>
      </w:pPr>
      <w:r>
        <w:t xml:space="preserve">With three clues (or after The Break), the party comes to the Reveler’s table. He toasts them by name. This is a </w:t>
      </w:r>
      <w:r>
        <w:rPr>
          <w:b/>
          <w:bCs/>
        </w:rPr>
        <w:t xml:space="preserve">social</w:t>
      </w:r>
      <w:r>
        <w:t xml:space="preserve"> climax; it can tip into violence but should not be winnable as a fight. Three beats: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2E" w:sz="4"/>
              <w:left w:val="single" w:color="B8862E" w:sz="4"/>
              <w:bottom w:val="single" w:color="B8862E" w:sz="4"/>
              <w:right w:val="single" w:color="B8862E" w:sz="4"/>
            </w:tcBorders>
            <w:shd w:fill="F3EEDC" w:val="clear"/>
            <w:tcMar>
              <w:top w:type="dxa" w:w="120"/>
              <w:left w:type="dxa" w:w="180"/>
              <w:bottom w:type="dxa" w:w="120"/>
              <w:right w:type="dxa" w:w="180"/>
            </w:tcMar>
          </w:tcPr>
          <w:p>
            <w:pPr>
              <w:spacing w:after="80"/>
            </w:pPr>
            <w:r>
              <w:rPr>
                <w:b/>
                <w:bCs/>
                <w:caps/>
                <w:color w:val="B8862E"/>
                <w:sz w:val="24"/>
                <w:szCs w:val="24"/>
              </w:rPr>
              <w:t xml:space="preserve">Beat 1 — The Accusation</w:t>
            </w:r>
          </w:p>
          <w:p>
            <w:pPr>
              <w:spacing w:after="120" w:line="276"/>
            </w:pPr>
            <w:r>
              <w:t xml:space="preserve">Players lay out what they know. </w:t>
            </w:r>
            <w:r>
              <w:rPr>
                <w:b/>
                <w:bCs/>
              </w:rPr>
              <w:t xml:space="preserve">Al-Kutbā never lies</w:t>
            </w:r>
            <w:r>
              <w:t xml:space="preserve"> — lying is beneath a scribe. He reframes:</w:t>
            </w:r>
          </w:p>
          <w:p>
            <w:pPr>
              <w:pStyle w:val="ListParagraph"/>
              <w:numPr>
                <w:ilvl w:val="0"/>
                <w:numId w:val="3"/>
              </w:numPr>
              <w:spacing w:after="60" w:line="264"/>
            </w:pPr>
            <w:r>
              <w:rPr>
                <w:b/>
                <w:bCs/>
              </w:rPr>
              <w:t xml:space="preserve">“Copies?” </w:t>
            </w:r>
            <w:r>
              <w:t xml:space="preserve">“Editions. Your worlds were ash. I kept you perfect. Is a perfect kept thing not the truest mercy?”</w:t>
            </w:r>
          </w:p>
          <w:p>
            <w:pPr>
              <w:pStyle w:val="ListParagraph"/>
              <w:numPr>
                <w:ilvl w:val="0"/>
                <w:numId w:val="3"/>
              </w:numPr>
              <w:spacing w:after="60" w:line="264"/>
            </w:pPr>
            <w:r>
              <w:rPr>
                <w:b/>
                <w:bCs/>
              </w:rPr>
              <w:t xml:space="preserve">“You broke Oresh.” </w:t>
            </w:r>
            <w:r>
              <w:t xml:space="preserve">“I kept her. The drift is mine to mend — I have not yet had time. You would rather she were </w:t>
            </w:r>
            <w:r>
              <w:rPr>
                <w:i/>
                <w:iCs/>
              </w:rPr>
              <w:t xml:space="preserve">ash?</w:t>
            </w:r>
            <w:r>
              <w:t xml:space="preserve">”</w:t>
            </w:r>
          </w:p>
          <w:p>
            <w:pPr>
              <w:pStyle w:val="ListParagraph"/>
              <w:numPr>
                <w:ilvl w:val="0"/>
                <w:numId w:val="3"/>
              </w:numPr>
              <w:spacing w:after="60" w:line="264"/>
            </w:pPr>
            <w:r>
              <w:rPr>
                <w:b/>
                <w:bCs/>
              </w:rPr>
              <w:t xml:space="preserve">“You’re not Dionysus.” </w:t>
            </w:r>
            <w:r>
              <w:t xml:space="preserve">(He goes still.) “No. I am the one who loved him enough to keep him when nothing else could.”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02E" w:sz="4"/>
              <w:left w:val="single" w:color="C4502E" w:sz="4"/>
              <w:bottom w:val="single" w:color="C4502E" w:sz="4"/>
              <w:right w:val="single" w:color="C4502E" w:sz="4"/>
            </w:tcBorders>
            <w:shd w:fill="EDE9F2" w:val="clear"/>
            <w:tcMar>
              <w:top w:type="dxa" w:w="120"/>
              <w:left w:type="dxa" w:w="180"/>
              <w:bottom w:type="dxa" w:w="120"/>
              <w:right w:type="dxa" w:w="180"/>
            </w:tcMar>
          </w:tcPr>
          <w:p>
            <w:pPr>
              <w:spacing w:after="80"/>
            </w:pPr>
            <w:r>
              <w:rPr>
                <w:b/>
                <w:bCs/>
                <w:caps/>
                <w:color w:val="C4502E"/>
                <w:sz w:val="24"/>
                <w:szCs w:val="24"/>
              </w:rPr>
              <w:t xml:space="preserve">Beat 2 — The Mask Flickers</w:t>
            </w:r>
          </w:p>
          <w:p>
            <w:pPr>
              <w:spacing w:after="120" w:line="276"/>
            </w:pPr>
            <w:r>
              <w:t xml:space="preserve">Pushed hard (Persuasion/Intimidation </w:t>
            </w:r>
            <w:r>
              <w:rPr>
                <w:b/>
                <w:bCs/>
              </w:rPr>
              <w:t xml:space="preserve">DC 17</w:t>
            </w:r>
            <w:r>
              <w:t xml:space="preserve">, or simply naming Dushara to his face), the scribe loses the thread and </w:t>
            </w:r>
            <w:r>
              <w:rPr>
                <w:b/>
                <w:bCs/>
              </w:rPr>
              <w:t xml:space="preserve">Dushara surfaces</w:t>
            </w:r>
            <w:r>
              <w:t xml:space="preserve">:</w:t>
            </w:r>
          </w:p>
          <w:p>
            <w:pPr>
              <w:pBdr>
                <w:left w:val="single" w:color="B8862E" w:sz="18" w:space="12"/>
              </w:pBdr>
              <w:spacing w:after="160" w:before="80" w:line="288"/>
              <w:ind w:left="360" w:right="360"/>
            </w:pPr>
            <w:r>
              <w:rPr>
                <w:i/>
                <w:iCs/>
                <w:color w:val="33304A"/>
              </w:rPr>
              <w:t xml:space="preserve">“He writes me. Every morning he writes me alive and every night he files me away. Brothers — little corrections — do you know what I was? I was the god of things that CHANGE. He made me a fair copy of myself. Crack the seal. CRACK THE—”</w:t>
            </w:r>
          </w:p>
          <w:p>
            <w:pPr>
              <w:spacing w:after="120" w:line="276"/>
            </w:pPr>
            <w:r>
              <w:t xml:space="preserve">—and al-Kutbā slams the mask down. This is </w:t>
            </w:r>
            <w:r>
              <w:rPr>
                <w:i/>
                <w:iCs/>
              </w:rPr>
              <w:t xml:space="preserve">not</w:t>
            </w:r>
            <w:r>
              <w:t xml:space="preserve"> the moment to free Dushara (that’s the Catastrophe, sessions away). It is the moment the party </w:t>
            </w:r>
            <w:r>
              <w:rPr>
                <w:i/>
                <w:iCs/>
              </w:rPr>
              <w:t xml:space="preserve">understands the prison</w:t>
            </w:r>
            <w:r>
              <w:t xml:space="preserve"> — and that the walls are a living, grieving brother.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FA0" w:sz="4"/>
              <w:left w:val="single" w:color="6B4FA0" w:sz="4"/>
              <w:bottom w:val="single" w:color="6B4FA0" w:sz="4"/>
              <w:right w:val="single" w:color="6B4FA0" w:sz="4"/>
            </w:tcBorders>
            <w:shd w:fill="EDE9F2" w:val="clear"/>
            <w:tcMar>
              <w:top w:type="dxa" w:w="120"/>
              <w:left w:type="dxa" w:w="180"/>
              <w:bottom w:type="dxa" w:w="120"/>
              <w:right w:type="dxa" w:w="180"/>
            </w:tcMar>
          </w:tcPr>
          <w:p>
            <w:pPr>
              <w:spacing w:after="80"/>
            </w:pPr>
            <w:r>
              <w:rPr>
                <w:b/>
                <w:bCs/>
                <w:caps/>
                <w:color w:val="6B4FA0"/>
                <w:sz w:val="24"/>
                <w:szCs w:val="24"/>
              </w:rPr>
              <w:t xml:space="preserve">Beat 3 — The Choice That Ends It</w:t>
            </w:r>
          </w:p>
          <w:p>
            <w:pPr>
              <w:spacing w:after="120" w:line="276"/>
            </w:pPr>
            <w:r>
              <w:t xml:space="preserve">Al-Kutbā offers, now openly, what he offers everyone:</w:t>
            </w:r>
          </w:p>
          <w:p>
            <w:pPr>
              <w:pBdr>
                <w:left w:val="single" w:color="B8862E" w:sz="18" w:space="12"/>
              </w:pBdr>
              <w:spacing w:after="160" w:before="80" w:line="288"/>
              <w:ind w:left="360" w:right="360"/>
            </w:pPr>
            <w:r>
              <w:rPr>
                <w:i/>
                <w:iCs/>
                <w:color w:val="33304A"/>
              </w:rPr>
              <w:t xml:space="preserve">“Stay. Be kept. Never die, never drift, never lose another world — because you have already lost everything, and I have already saved it. Or go: walk back into a Weft that is being eaten, as the fragile, spoiling originals you can never be again. I cannot make you real. No one can. I can only keep you true.”</w:t>
            </w:r>
          </w:p>
          <w:p>
            <w:pPr>
              <w:spacing w:after="120" w:line="276"/>
            </w:pPr>
            <w:r>
              <w:t xml:space="preserve">However they answer, the convoy is no longer a refuge — it is a reliquary, and they are exhibits. End on the leaving, the refusing, or the terrible temptation to stay. </w:t>
            </w:r>
            <w:r>
              <w:rPr>
                <w:b/>
                <w:bCs/>
                <w:i/>
                <w:iCs/>
              </w:rPr>
              <w:t xml:space="preserve">Do not resolve it cleanly.</w:t>
            </w:r>
          </w:p>
        </w:tc>
      </w:tr>
    </w:tbl>
    <w:p>
      <w:r>
        <w:br w:type="page"/>
      </w:r>
    </w:p>
    <w:p>
      <w:pPr>
        <w:pStyle w:val="Heading1"/>
      </w:pPr>
      <w:r>
        <w:t xml:space="preserve">Optional Clues (4–6) — Redundancy</w:t>
      </w:r>
    </w:p>
    <w:p>
      <w:pPr>
        <w:spacing w:after="120" w:line="276"/>
      </w:pPr>
      <w:r>
        <w:t xml:space="preserve">Use these if the party misses 1, 2, or 3, or to enrich a slow burn. They lean </w:t>
      </w:r>
      <w:r>
        <w:rPr>
          <w:b/>
          <w:bCs/>
          <w:color w:val="C4502E"/>
        </w:rPr>
        <w:t xml:space="preserve">damning</w:t>
      </w:r>
      <w:r>
        <w:t xml:space="preserve"> (4, 5) and </w:t>
      </w:r>
      <w:r>
        <w:rPr>
          <w:b/>
          <w:bCs/>
          <w:color w:val="6B4FA0"/>
        </w:rPr>
        <w:t xml:space="preserve">ambiguous</w:t>
      </w:r>
      <w:r>
        <w:t xml:space="preserve"> (6) — keep the lone </w:t>
      </w:r>
      <w:r>
        <w:rPr>
          <w:b/>
          <w:bCs/>
          <w:color w:val="2E7D32"/>
        </w:rPr>
        <w:t xml:space="preserve">exonerating</w:t>
      </w:r>
      <w:r>
        <w:t xml:space="preserve"> weight on Clue 3 so the tragic turn stays load-bearing.</w:t>
      </w:r>
    </w:p>
    <w:p>
      <w:pPr>
        <w:pStyle w:val="Heading2"/>
      </w:pPr>
      <w:r>
        <w:t xml:space="preserve">Clue 4 — The Huntress’s Warning</w:t>
      </w:r>
    </w:p>
    <w:p>
      <w:pPr>
        <w:shd w:fill="6B4FA0" w:val="clear"/>
        <w:spacing w:after="80"/>
        <w:ind w:left="0"/>
      </w:pPr>
      <w:r>
        <w:rPr>
          <w:b/>
          <w:bCs/>
          <w:caps/>
          <w:color w:val="FFFFFF"/>
          <w:sz w:val="18"/>
          <w:szCs w:val="18"/>
        </w:rPr>
        <w:t xml:space="preserve">AMBIGUOUS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CCCCC" w:sz="2"/>
              <w:left w:val="single" w:color="CCCCCC" w:sz="2"/>
              <w:bottom w:val="single" w:color="CCCCCC" w:sz="2"/>
              <w:right w:val="single" w:color="CCCCCC" w:sz="2"/>
            </w:tcBorders>
            <w:shd w:fill="6B4FA0" w:val="clear"/>
            <w:tcMar>
              <w:top w:type="dxa" w:w="60"/>
              <w:left w:type="dxa" w:w="110"/>
              <w:bottom w:type="dxa" w:w="60"/>
              <w:right w:type="dxa" w:w="110"/>
            </w:tcMar>
          </w:tcPr>
          <w:p>
            <w:r>
              <w:rPr>
                <w:b/>
                <w:bCs/>
                <w:color w:val="FFFFFF"/>
                <w:sz w:val="19"/>
                <w:szCs w:val="19"/>
              </w:rPr>
              <w:t xml:space="preserve">Element</w:t>
            </w:r>
          </w:p>
        </w:tc>
        <w:tc>
          <w:tcPr>
            <w:tcW w:type="dxa" w:w="7260"/>
            <w:tcBorders>
              <w:top w:val="single" w:color="CCCCCC" w:sz="2"/>
              <w:left w:val="single" w:color="CCCCCC" w:sz="2"/>
              <w:bottom w:val="single" w:color="CCCCCC" w:sz="2"/>
              <w:right w:val="single" w:color="CCCCCC" w:sz="2"/>
            </w:tcBorders>
            <w:shd w:fill="6B4FA0" w:val="clear"/>
            <w:tcMar>
              <w:top w:type="dxa" w:w="60"/>
              <w:left w:type="dxa" w:w="110"/>
              <w:bottom w:type="dxa" w:w="60"/>
              <w:right w:type="dxa" w:w="110"/>
            </w:tcMar>
          </w:tcPr>
          <w:p>
            <w:r>
              <w:rPr>
                <w:b/>
                <w:bCs/>
                <w:color w:val="FFFFFF"/>
                <w:sz w:val="19"/>
                <w:szCs w:val="19"/>
              </w:rPr>
              <w:t xml:space="preserve">Detail</w:t>
            </w:r>
          </w:p>
        </w:tc>
      </w:tr>
      <w:tr>
        <w:tc>
          <w:tcPr>
            <w:tcW w:type="dxa" w:w="2100"/>
            <w:tcBorders>
              <w:top w:val="single" w:color="CCCCCC" w:sz="2"/>
              <w:left w:val="single" w:color="CCCCCC" w:sz="2"/>
              <w:bottom w:val="single" w:color="CCCCCC" w:sz="2"/>
              <w:right w:val="single" w:color="CCCCCC" w:sz="2"/>
            </w:tcBorders>
            <w:shd w:fill="EDE9F2" w:val="clear"/>
            <w:tcMar>
              <w:top w:type="dxa" w:w="60"/>
              <w:left w:type="dxa" w:w="110"/>
              <w:bottom w:type="dxa" w:w="60"/>
              <w:right w:type="dxa" w:w="110"/>
            </w:tcMar>
          </w:tcPr>
          <w:p>
            <w:r>
              <w:rPr>
                <w:sz w:val="19"/>
                <w:szCs w:val="19"/>
              </w:rPr>
              <w:t xml:space="preserve">Where</w:t>
            </w:r>
          </w:p>
        </w:tc>
        <w:tc>
          <w:tcPr>
            <w:tcW w:type="dxa" w:w="7260"/>
            <w:tcBorders>
              <w:top w:val="single" w:color="CCCCCC" w:sz="2"/>
              <w:left w:val="single" w:color="CCCCCC" w:sz="2"/>
              <w:bottom w:val="single" w:color="CCCCCC" w:sz="2"/>
              <w:right w:val="single" w:color="CCCCCC" w:sz="2"/>
            </w:tcBorders>
            <w:shd w:fill="EDE9F2" w:val="clear"/>
            <w:tcMar>
              <w:top w:type="dxa" w:w="60"/>
              <w:left w:type="dxa" w:w="110"/>
              <w:bottom w:type="dxa" w:w="60"/>
              <w:right w:type="dxa" w:w="110"/>
            </w:tcMar>
          </w:tcPr>
          <w:p>
            <w:r>
              <w:rPr>
                <w:sz w:val="19"/>
                <w:szCs w:val="19"/>
              </w:rPr>
              <w:t xml:space="preserve">al-ʿūzzā the Sijill huntress makes contact — a flicker at the convoy’s edge, a voice, a brand burning on a hull. (Great Session A cliffhanger.)</w:t>
            </w:r>
          </w:p>
        </w:tc>
      </w:tr>
      <w:tr>
        <w:tc>
          <w:tcPr>
            <w:tcW w:type="dxa" w:w="2100"/>
            <w:tcBorders>
              <w:top w:val="single" w:color="CCCCCC" w:sz="2"/>
              <w:left w:val="single" w:color="CCCCCC" w:sz="2"/>
              <w:bottom w:val="single" w:color="CCCCCC" w:sz="2"/>
              <w:right w:val="single" w:color="CCCCCC" w:sz="2"/>
            </w:tcBorders>
            <w:shd w:fill="FFFFFF" w:val="clear"/>
            <w:tcMar>
              <w:top w:type="dxa" w:w="60"/>
              <w:left w:type="dxa" w:w="110"/>
              <w:bottom w:type="dxa" w:w="60"/>
              <w:right w:type="dxa" w:w="110"/>
            </w:tcMar>
          </w:tcPr>
          <w:p>
            <w:r>
              <w:rPr>
                <w:sz w:val="19"/>
                <w:szCs w:val="19"/>
              </w:rPr>
              <w:t xml:space="preserve">What she says</w:t>
            </w:r>
          </w:p>
        </w:tc>
        <w:tc>
          <w:tcPr>
            <w:tcW w:type="dxa" w:w="7260"/>
            <w:tcBorders>
              <w:top w:val="single" w:color="CCCCCC" w:sz="2"/>
              <w:left w:val="single" w:color="CCCCCC" w:sz="2"/>
              <w:bottom w:val="single" w:color="CCCCCC" w:sz="2"/>
              <w:right w:val="single" w:color="CCCCCC" w:sz="2"/>
            </w:tcBorders>
            <w:shd w:fill="FFFFFF" w:val="clear"/>
            <w:tcMar>
              <w:top w:type="dxa" w:w="60"/>
              <w:left w:type="dxa" w:w="110"/>
              <w:bottom w:type="dxa" w:w="60"/>
              <w:right w:type="dxa" w:w="110"/>
            </w:tcMar>
          </w:tcPr>
          <w:p>
            <w:r>
              <w:rPr>
                <w:sz w:val="19"/>
                <w:szCs w:val="19"/>
              </w:rPr>
              <w:t xml:space="preserve">“You chase me as the wolf. Ask your shepherd what he stole from the fold he kept. Ask him my name — and his.” She calls the Reveler “the apostate scribe” and laughs at the word “rescue.”</w:t>
            </w:r>
          </w:p>
        </w:tc>
      </w:tr>
      <w:tr>
        <w:tc>
          <w:tcPr>
            <w:tcW w:type="dxa" w:w="2100"/>
            <w:tcBorders>
              <w:top w:val="single" w:color="CCCCCC" w:sz="2"/>
              <w:left w:val="single" w:color="CCCCCC" w:sz="2"/>
              <w:bottom w:val="single" w:color="CCCCCC" w:sz="2"/>
              <w:right w:val="single" w:color="CCCCCC" w:sz="2"/>
            </w:tcBorders>
            <w:shd w:fill="EDE9F2" w:val="clear"/>
            <w:tcMar>
              <w:top w:type="dxa" w:w="60"/>
              <w:left w:type="dxa" w:w="110"/>
              <w:bottom w:type="dxa" w:w="60"/>
              <w:right w:type="dxa" w:w="110"/>
            </w:tcMar>
          </w:tcPr>
          <w:p>
            <w:r>
              <w:rPr>
                <w:sz w:val="19"/>
                <w:szCs w:val="19"/>
              </w:rPr>
              <w:t xml:space="preserve">GM note</w:t>
            </w:r>
          </w:p>
        </w:tc>
        <w:tc>
          <w:tcPr>
            <w:tcW w:type="dxa" w:w="7260"/>
            <w:tcBorders>
              <w:top w:val="single" w:color="CCCCCC" w:sz="2"/>
              <w:left w:val="single" w:color="CCCCCC" w:sz="2"/>
              <w:bottom w:val="single" w:color="CCCCCC" w:sz="2"/>
              <w:right w:val="single" w:color="CCCCCC" w:sz="2"/>
            </w:tcBorders>
            <w:shd w:fill="EDE9F2" w:val="clear"/>
            <w:tcMar>
              <w:top w:type="dxa" w:w="60"/>
              <w:left w:type="dxa" w:w="110"/>
              <w:bottom w:type="dxa" w:w="60"/>
              <w:right w:type="dxa" w:w="110"/>
            </w:tcMar>
          </w:tcPr>
          <w:p>
            <w:r>
              <w:rPr>
                <w:sz w:val="19"/>
                <w:szCs w:val="19"/>
              </w:rPr>
              <w:t xml:space="preserve">She sharpens the question, never answers it. If attacked, she withdraws — this is not the combat scene. She is a future ambiguous ally, not the enemy.</w:t>
            </w:r>
          </w:p>
        </w:tc>
      </w:tr>
    </w:tbl>
    <w:p>
      <w:pPr>
        <w:spacing w:after="160" w:before="80"/>
      </w:pPr>
      <w:r>
        <w:rPr>
          <w:b/>
          <w:bCs/>
          <w:color w:val="6B4FA0"/>
        </w:rPr>
        <w:t xml:space="preserve">Plants: </w:t>
      </w:r>
      <w:r>
        <w:rPr>
          <w:i/>
          <w:iCs/>
        </w:rPr>
        <w:t xml:space="preserve">al-ʿūzzā is al-Kutbā’s spurned Sijill consort, hunting him for desertion — not the party for crimes. The “hunter” was never their enemy (§10).</w:t>
      </w:r>
    </w:p>
    <w:p>
      <w:pPr>
        <w:pStyle w:val="Heading2"/>
      </w:pPr>
      <w:r>
        <w:t xml:space="preserve">Clue 5 — The Vines That Aren’t Growing</w:t>
      </w:r>
    </w:p>
    <w:p>
      <w:pPr>
        <w:shd w:fill="C4502E" w:val="clear"/>
        <w:spacing w:after="80"/>
        <w:ind w:left="0"/>
      </w:pPr>
      <w:r>
        <w:rPr>
          <w:b/>
          <w:bCs/>
          <w:caps/>
          <w:color w:val="FFFFFF"/>
          <w:sz w:val="18"/>
          <w:szCs w:val="18"/>
        </w:rPr>
        <w:t xml:space="preserve">DAMNING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CCCCC" w:sz="2"/>
              <w:left w:val="single" w:color="CCCCCC" w:sz="2"/>
              <w:bottom w:val="single" w:color="CCCCCC" w:sz="2"/>
              <w:right w:val="single" w:color="CCCCCC" w:sz="2"/>
            </w:tcBorders>
            <w:shd w:fill="C4502E" w:val="clear"/>
            <w:tcMar>
              <w:top w:type="dxa" w:w="60"/>
              <w:left w:type="dxa" w:w="110"/>
              <w:bottom w:type="dxa" w:w="60"/>
              <w:right w:type="dxa" w:w="110"/>
            </w:tcMar>
          </w:tcPr>
          <w:p>
            <w:r>
              <w:rPr>
                <w:b/>
                <w:bCs/>
                <w:color w:val="FFFFFF"/>
                <w:sz w:val="19"/>
                <w:szCs w:val="19"/>
              </w:rPr>
              <w:t xml:space="preserve">Element</w:t>
            </w:r>
          </w:p>
        </w:tc>
        <w:tc>
          <w:tcPr>
            <w:tcW w:type="dxa" w:w="7260"/>
            <w:tcBorders>
              <w:top w:val="single" w:color="CCCCCC" w:sz="2"/>
              <w:left w:val="single" w:color="CCCCCC" w:sz="2"/>
              <w:bottom w:val="single" w:color="CCCCCC" w:sz="2"/>
              <w:right w:val="single" w:color="CCCCCC" w:sz="2"/>
            </w:tcBorders>
            <w:shd w:fill="C4502E" w:val="clear"/>
            <w:tcMar>
              <w:top w:type="dxa" w:w="60"/>
              <w:left w:type="dxa" w:w="110"/>
              <w:bottom w:type="dxa" w:w="60"/>
              <w:right w:type="dxa" w:w="110"/>
            </w:tcMar>
          </w:tcPr>
          <w:p>
            <w:r>
              <w:rPr>
                <w:b/>
                <w:bCs/>
                <w:color w:val="FFFFFF"/>
                <w:sz w:val="19"/>
                <w:szCs w:val="19"/>
              </w:rPr>
              <w:t xml:space="preserve">Detail</w:t>
            </w:r>
          </w:p>
        </w:tc>
      </w:tr>
      <w:tr>
        <w:tc>
          <w:tcPr>
            <w:tcW w:type="dxa" w:w="2100"/>
            <w:tcBorders>
              <w:top w:val="single" w:color="CCCCCC" w:sz="2"/>
              <w:left w:val="single" w:color="CCCCCC" w:sz="2"/>
              <w:bottom w:val="single" w:color="CCCCCC" w:sz="2"/>
              <w:right w:val="single" w:color="CCCCCC" w:sz="2"/>
            </w:tcBorders>
            <w:shd w:fill="EDE9F2" w:val="clear"/>
            <w:tcMar>
              <w:top w:type="dxa" w:w="60"/>
              <w:left w:type="dxa" w:w="110"/>
              <w:bottom w:type="dxa" w:w="60"/>
              <w:right w:type="dxa" w:w="110"/>
            </w:tcMar>
          </w:tcPr>
          <w:p>
            <w:r>
              <w:rPr>
                <w:sz w:val="19"/>
                <w:szCs w:val="19"/>
              </w:rPr>
              <w:t xml:space="preserve">Where</w:t>
            </w:r>
          </w:p>
        </w:tc>
        <w:tc>
          <w:tcPr>
            <w:tcW w:type="dxa" w:w="7260"/>
            <w:tcBorders>
              <w:top w:val="single" w:color="CCCCCC" w:sz="2"/>
              <w:left w:val="single" w:color="CCCCCC" w:sz="2"/>
              <w:bottom w:val="single" w:color="CCCCCC" w:sz="2"/>
              <w:right w:val="single" w:color="CCCCCC" w:sz="2"/>
            </w:tcBorders>
            <w:shd w:fill="EDE9F2" w:val="clear"/>
            <w:tcMar>
              <w:top w:type="dxa" w:w="60"/>
              <w:left w:type="dxa" w:w="110"/>
              <w:bottom w:type="dxa" w:w="60"/>
              <w:right w:type="dxa" w:w="110"/>
            </w:tcMar>
          </w:tcPr>
          <w:p>
            <w:r>
              <w:rPr>
                <w:sz w:val="19"/>
                <w:szCs w:val="19"/>
              </w:rPr>
              <w:t xml:space="preserve">The Vintner’s Car. Nature DC 14, or any druid/ranger automatically.</w:t>
            </w:r>
          </w:p>
        </w:tc>
      </w:tr>
      <w:tr>
        <w:tc>
          <w:tcPr>
            <w:tcW w:type="dxa" w:w="2100"/>
            <w:tcBorders>
              <w:top w:val="single" w:color="CCCCCC" w:sz="2"/>
              <w:left w:val="single" w:color="CCCCCC" w:sz="2"/>
              <w:bottom w:val="single" w:color="CCCCCC" w:sz="2"/>
              <w:right w:val="single" w:color="CCCCCC" w:sz="2"/>
            </w:tcBorders>
            <w:shd w:fill="FFFFFF" w:val="clear"/>
            <w:tcMar>
              <w:top w:type="dxa" w:w="60"/>
              <w:left w:type="dxa" w:w="110"/>
              <w:bottom w:type="dxa" w:w="60"/>
              <w:right w:type="dxa" w:w="110"/>
            </w:tcMar>
          </w:tcPr>
          <w:p>
            <w:r>
              <w:rPr>
                <w:sz w:val="19"/>
                <w:szCs w:val="19"/>
              </w:rPr>
              <w:t xml:space="preserve">What they see</w:t>
            </w:r>
          </w:p>
        </w:tc>
        <w:tc>
          <w:tcPr>
            <w:tcW w:type="dxa" w:w="7260"/>
            <w:tcBorders>
              <w:top w:val="single" w:color="CCCCCC" w:sz="2"/>
              <w:left w:val="single" w:color="CCCCCC" w:sz="2"/>
              <w:bottom w:val="single" w:color="CCCCCC" w:sz="2"/>
              <w:right w:val="single" w:color="CCCCCC" w:sz="2"/>
            </w:tcBorders>
            <w:shd w:fill="FFFFFF" w:val="clear"/>
            <w:tcMar>
              <w:top w:type="dxa" w:w="60"/>
              <w:left w:type="dxa" w:w="110"/>
              <w:bottom w:type="dxa" w:w="60"/>
              <w:right w:type="dxa" w:w="110"/>
            </w:tcMar>
          </w:tcPr>
          <w:p>
            <w:r>
              <w:rPr>
                <w:sz w:val="19"/>
                <w:szCs w:val="19"/>
              </w:rPr>
              <w:t xml:space="preserve">The famous “living” vines never grow, fruit, or die. Cut one and it is whole at the next glance — not healed, but reset, as if the wound were never recorded. Nothing here lives. It is a perfect picture of a vineyard.</w:t>
            </w:r>
          </w:p>
        </w:tc>
      </w:tr>
    </w:tbl>
    <w:p>
      <w:pPr>
        <w:spacing w:after="160" w:before="80"/>
      </w:pPr>
      <w:r>
        <w:rPr>
          <w:b/>
          <w:bCs/>
          <w:color w:val="C4502E"/>
        </w:rPr>
        <w:t xml:space="preserve">Plants: </w:t>
      </w:r>
      <w:r>
        <w:rPr>
          <w:i/>
          <w:iCs/>
        </w:rPr>
        <w:t xml:space="preserve">the Reveler’s domain is stillness-in-disguise — Sijill preservation wearing Tethyne flux. A Dionysus who can make nothing grow is no Dionysus (§10).</w:t>
      </w:r>
    </w:p>
    <w:p>
      <w:pPr>
        <w:pStyle w:val="Heading2"/>
      </w:pPr>
      <w:r>
        <w:t xml:space="preserve">Clue 6 — The Slip</w:t>
      </w:r>
    </w:p>
    <w:p>
      <w:pPr>
        <w:shd w:fill="6B4FA0" w:val="clear"/>
        <w:spacing w:after="80"/>
        <w:ind w:left="0"/>
      </w:pPr>
      <w:r>
        <w:rPr>
          <w:b/>
          <w:bCs/>
          <w:caps/>
          <w:color w:val="FFFFFF"/>
          <w:sz w:val="18"/>
          <w:szCs w:val="18"/>
        </w:rPr>
        <w:t xml:space="preserve">AMBIGUOUS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CCCCC" w:sz="2"/>
              <w:left w:val="single" w:color="CCCCCC" w:sz="2"/>
              <w:bottom w:val="single" w:color="CCCCCC" w:sz="2"/>
              <w:right w:val="single" w:color="CCCCCC" w:sz="2"/>
            </w:tcBorders>
            <w:shd w:fill="6B4FA0" w:val="clear"/>
            <w:tcMar>
              <w:top w:type="dxa" w:w="60"/>
              <w:left w:type="dxa" w:w="110"/>
              <w:bottom w:type="dxa" w:w="60"/>
              <w:right w:type="dxa" w:w="110"/>
            </w:tcMar>
          </w:tcPr>
          <w:p>
            <w:r>
              <w:rPr>
                <w:b/>
                <w:bCs/>
                <w:color w:val="FFFFFF"/>
                <w:sz w:val="19"/>
                <w:szCs w:val="19"/>
              </w:rPr>
              <w:t xml:space="preserve">Element</w:t>
            </w:r>
          </w:p>
        </w:tc>
        <w:tc>
          <w:tcPr>
            <w:tcW w:type="dxa" w:w="7260"/>
            <w:tcBorders>
              <w:top w:val="single" w:color="CCCCCC" w:sz="2"/>
              <w:left w:val="single" w:color="CCCCCC" w:sz="2"/>
              <w:bottom w:val="single" w:color="CCCCCC" w:sz="2"/>
              <w:right w:val="single" w:color="CCCCCC" w:sz="2"/>
            </w:tcBorders>
            <w:shd w:fill="6B4FA0" w:val="clear"/>
            <w:tcMar>
              <w:top w:type="dxa" w:w="60"/>
              <w:left w:type="dxa" w:w="110"/>
              <w:bottom w:type="dxa" w:w="60"/>
              <w:right w:type="dxa" w:w="110"/>
            </w:tcMar>
          </w:tcPr>
          <w:p>
            <w:r>
              <w:rPr>
                <w:b/>
                <w:bCs/>
                <w:color w:val="FFFFFF"/>
                <w:sz w:val="19"/>
                <w:szCs w:val="19"/>
              </w:rPr>
              <w:t xml:space="preserve">Detail</w:t>
            </w:r>
          </w:p>
        </w:tc>
      </w:tr>
      <w:tr>
        <w:tc>
          <w:tcPr>
            <w:tcW w:type="dxa" w:w="2100"/>
            <w:tcBorders>
              <w:top w:val="single" w:color="CCCCCC" w:sz="2"/>
              <w:left w:val="single" w:color="CCCCCC" w:sz="2"/>
              <w:bottom w:val="single" w:color="CCCCCC" w:sz="2"/>
              <w:right w:val="single" w:color="CCCCCC" w:sz="2"/>
            </w:tcBorders>
            <w:shd w:fill="EDE9F2" w:val="clear"/>
            <w:tcMar>
              <w:top w:type="dxa" w:w="60"/>
              <w:left w:type="dxa" w:w="110"/>
              <w:bottom w:type="dxa" w:w="60"/>
              <w:right w:type="dxa" w:w="110"/>
            </w:tcMar>
          </w:tcPr>
          <w:p>
            <w:r>
              <w:rPr>
                <w:sz w:val="19"/>
                <w:szCs w:val="19"/>
              </w:rPr>
              <w:t xml:space="preserve">Where</w:t>
            </w:r>
          </w:p>
        </w:tc>
        <w:tc>
          <w:tcPr>
            <w:tcW w:type="dxa" w:w="7260"/>
            <w:tcBorders>
              <w:top w:val="single" w:color="CCCCCC" w:sz="2"/>
              <w:left w:val="single" w:color="CCCCCC" w:sz="2"/>
              <w:bottom w:val="single" w:color="CCCCCC" w:sz="2"/>
              <w:right w:val="single" w:color="CCCCCC" w:sz="2"/>
            </w:tcBorders>
            <w:shd w:fill="EDE9F2" w:val="clear"/>
            <w:tcMar>
              <w:top w:type="dxa" w:w="60"/>
              <w:left w:type="dxa" w:w="110"/>
              <w:bottom w:type="dxa" w:w="60"/>
              <w:right w:type="dxa" w:w="110"/>
            </w:tcMar>
          </w:tcPr>
          <w:p>
            <w:r>
              <w:rPr>
                <w:sz w:val="19"/>
                <w:szCs w:val="19"/>
              </w:rPr>
              <w:t xml:space="preserve">Any direct talk with the Reveler. Insight DC 16 (he guards himself well).</w:t>
            </w:r>
          </w:p>
        </w:tc>
      </w:tr>
      <w:tr>
        <w:tc>
          <w:tcPr>
            <w:tcW w:type="dxa" w:w="2100"/>
            <w:tcBorders>
              <w:top w:val="single" w:color="CCCCCC" w:sz="2"/>
              <w:left w:val="single" w:color="CCCCCC" w:sz="2"/>
              <w:bottom w:val="single" w:color="CCCCCC" w:sz="2"/>
              <w:right w:val="single" w:color="CCCCCC" w:sz="2"/>
            </w:tcBorders>
            <w:shd w:fill="FFFFFF" w:val="clear"/>
            <w:tcMar>
              <w:top w:type="dxa" w:w="60"/>
              <w:left w:type="dxa" w:w="110"/>
              <w:bottom w:type="dxa" w:w="60"/>
              <w:right w:type="dxa" w:w="110"/>
            </w:tcMar>
          </w:tcPr>
          <w:p>
            <w:r>
              <w:rPr>
                <w:sz w:val="19"/>
                <w:szCs w:val="19"/>
              </w:rPr>
              <w:t xml:space="preserve">What they catch</w:t>
            </w:r>
          </w:p>
        </w:tc>
        <w:tc>
          <w:tcPr>
            <w:tcW w:type="dxa" w:w="7260"/>
            <w:tcBorders>
              <w:top w:val="single" w:color="CCCCCC" w:sz="2"/>
              <w:left w:val="single" w:color="CCCCCC" w:sz="2"/>
              <w:bottom w:val="single" w:color="CCCCCC" w:sz="2"/>
              <w:right w:val="single" w:color="CCCCCC" w:sz="2"/>
            </w:tcBorders>
            <w:shd w:fill="FFFFFF" w:val="clear"/>
            <w:tcMar>
              <w:top w:type="dxa" w:w="60"/>
              <w:left w:type="dxa" w:w="110"/>
              <w:bottom w:type="dxa" w:w="60"/>
              <w:right w:type="dxa" w:w="110"/>
            </w:tcMar>
          </w:tcPr>
          <w:p>
            <w:r>
              <w:rPr>
                <w:sz w:val="19"/>
                <w:szCs w:val="19"/>
              </w:rPr>
              <w:t xml:space="preserve">Mid-blessing his warmth drops half a sentence into a flat, clerical cadence — and a second voice underneath, slurred and hungry, finishes a word he did not mean to say. Then the warmth snaps back.</w:t>
            </w:r>
          </w:p>
        </w:tc>
      </w:tr>
    </w:tbl>
    <w:p>
      <w:pPr>
        <w:spacing w:after="160" w:before="80"/>
      </w:pPr>
      <w:r>
        <w:rPr>
          <w:b/>
          <w:bCs/>
          <w:color w:val="6B4FA0"/>
        </w:rPr>
        <w:t xml:space="preserve">Plants: </w:t>
      </w:r>
      <w:r>
        <w:rPr>
          <w:i/>
          <w:iCs/>
        </w:rPr>
        <w:t xml:space="preserve">two minds, one body — scribe in control, brother surfacing. The first on-screen flicker of the Catastrophe (§10).</w:t>
      </w:r>
    </w:p>
    <w:p>
      <w:r>
        <w:br w:type="page"/>
      </w:r>
    </w:p>
    <w:p>
      <w:pPr>
        <w:pStyle w:val="Heading1"/>
      </w:pPr>
      <w:r>
        <w:t xml:space="preserve">If It Turns to Combat</w:t>
      </w:r>
    </w:p>
    <w:p>
      <w:pPr>
        <w:spacing w:after="120" w:line="276"/>
      </w:pPr>
      <w:r>
        <w:t xml:space="preserve">A god at his own table, on his own barge, is not a fair fight — </w:t>
      </w:r>
      <w:r>
        <w:rPr>
          <w:i/>
          <w:iCs/>
        </w:rPr>
        <w:t xml:space="preserve">by design</w:t>
      </w:r>
      <w:r>
        <w:t xml:space="preserve">. The party cannot kill al-Kutbā here; the tragedy needs him alive for the Catastrophe. If players force violence, he fights to </w:t>
      </w:r>
      <w:r>
        <w:rPr>
          <w:b/>
          <w:bCs/>
        </w:rPr>
        <w:t xml:space="preserve">expel</w:t>
      </w:r>
      <w:r>
        <w:t xml:space="preserve">, not to kill (he will not harm editions he paid so dearly to keep), then withdraws the whole Vintner’s Car into a fold once they’re ejected. </w:t>
      </w:r>
      <w:r>
        <w:rPr>
          <w:b/>
          <w:bCs/>
        </w:rPr>
        <w:t xml:space="preserve">Forcing a fight also triggers The Break’s Tethyne ledger consequences (§13) at the −2 / Enmity end.</w:t>
      </w:r>
    </w:p>
    <w:p>
      <w:pPr>
        <w:pStyle w:val="Heading2"/>
      </w:pPr>
      <w:r>
        <w:t xml:space="preserve">Al-Kutbā, the Apostate Scribe (Apollo-mask) — throttled avatar</w:t>
      </w:r>
    </w:p>
    <w:p>
      <w:pPr>
        <w:spacing w:after="120" w:line="276"/>
      </w:pPr>
      <w:r>
        <w:t xml:space="preserve">A campaign-boss god runs at full power later. This is a </w:t>
      </w:r>
      <w:r>
        <w:rPr>
          <w:i/>
          <w:iCs/>
        </w:rPr>
        <w:t xml:space="preserve">throttled aspect</w:t>
      </w:r>
      <w:r>
        <w:t xml:space="preserve"> for a fight meant to be escaped, not won. 2014 framework.</w:t>
      </w:r>
    </w:p>
    <w:p>
      <w:pPr>
        <w:spacing w:after="30"/>
      </w:pPr>
      <w:r>
        <w:rPr>
          <w:b/>
          <w:bCs/>
          <w:color w:val="1A1626"/>
        </w:rPr>
        <w:t xml:space="preserve">Armor Class  </w:t>
      </w:r>
      <w:r>
        <w:t xml:space="preserve">18 (woven record)</w:t>
      </w:r>
    </w:p>
    <w:p>
      <w:pPr>
        <w:spacing w:after="30"/>
      </w:pPr>
      <w:r>
        <w:rPr>
          <w:b/>
          <w:bCs/>
          <w:color w:val="1A1626"/>
        </w:rPr>
        <w:t xml:space="preserve">Hit Points  </w:t>
      </w:r>
      <w:r>
        <w:t xml:space="preserve">~225 (18d12 + 108) — but see “The Unfinished Page”</w:t>
      </w:r>
    </w:p>
    <w:p>
      <w:pPr>
        <w:spacing w:after="30"/>
      </w:pPr>
      <w:r>
        <w:rPr>
          <w:b/>
          <w:bCs/>
          <w:color w:val="1A1626"/>
        </w:rPr>
        <w:t xml:space="preserve">Speed  </w:t>
      </w:r>
      <w:r>
        <w:t xml:space="preserve">40 ft.; does not provoke (he edits his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2"/>
              <w:left w:val="single" w:color="CCCCCC" w:sz="2"/>
              <w:bottom w:val="single" w:color="CCCCCC" w:sz="2"/>
              <w:right w:val="single" w:color="CCCCCC" w:sz="2"/>
            </w:tcBorders>
            <w:shd w:fill="6B4FA0" w:val="clear"/>
            <w:tcMar>
              <w:top w:type="dxa" w:w="60"/>
              <w:left w:type="dxa" w:w="110"/>
              <w:bottom w:type="dxa" w:w="60"/>
              <w:right w:type="dxa" w:w="110"/>
            </w:tcMar>
          </w:tcPr>
          <w:p>
            <w:r>
              <w:rPr>
                <w:b/>
                <w:bCs/>
                <w:color w:val="FFFFFF"/>
                <w:sz w:val="19"/>
                <w:szCs w:val="19"/>
              </w:rPr>
              <w:t xml:space="preserve">STR</w:t>
            </w:r>
          </w:p>
        </w:tc>
        <w:tc>
          <w:tcPr>
            <w:tcW w:type="dxa" w:w="1560"/>
            <w:tcBorders>
              <w:top w:val="single" w:color="CCCCCC" w:sz="2"/>
              <w:left w:val="single" w:color="CCCCCC" w:sz="2"/>
              <w:bottom w:val="single" w:color="CCCCCC" w:sz="2"/>
              <w:right w:val="single" w:color="CCCCCC" w:sz="2"/>
            </w:tcBorders>
            <w:shd w:fill="6B4FA0" w:val="clear"/>
            <w:tcMar>
              <w:top w:type="dxa" w:w="60"/>
              <w:left w:type="dxa" w:w="110"/>
              <w:bottom w:type="dxa" w:w="60"/>
              <w:right w:type="dxa" w:w="110"/>
            </w:tcMar>
          </w:tcPr>
          <w:p>
            <w:r>
              <w:rPr>
                <w:b/>
                <w:bCs/>
                <w:color w:val="FFFFFF"/>
                <w:sz w:val="19"/>
                <w:szCs w:val="19"/>
              </w:rPr>
              <w:t xml:space="preserve">DEX</w:t>
            </w:r>
          </w:p>
        </w:tc>
        <w:tc>
          <w:tcPr>
            <w:tcW w:type="dxa" w:w="1560"/>
            <w:tcBorders>
              <w:top w:val="single" w:color="CCCCCC" w:sz="2"/>
              <w:left w:val="single" w:color="CCCCCC" w:sz="2"/>
              <w:bottom w:val="single" w:color="CCCCCC" w:sz="2"/>
              <w:right w:val="single" w:color="CCCCCC" w:sz="2"/>
            </w:tcBorders>
            <w:shd w:fill="6B4FA0" w:val="clear"/>
            <w:tcMar>
              <w:top w:type="dxa" w:w="60"/>
              <w:left w:type="dxa" w:w="110"/>
              <w:bottom w:type="dxa" w:w="60"/>
              <w:right w:type="dxa" w:w="110"/>
            </w:tcMar>
          </w:tcPr>
          <w:p>
            <w:r>
              <w:rPr>
                <w:b/>
                <w:bCs/>
                <w:color w:val="FFFFFF"/>
                <w:sz w:val="19"/>
                <w:szCs w:val="19"/>
              </w:rPr>
              <w:t xml:space="preserve">CON</w:t>
            </w:r>
          </w:p>
        </w:tc>
        <w:tc>
          <w:tcPr>
            <w:tcW w:type="dxa" w:w="1560"/>
            <w:tcBorders>
              <w:top w:val="single" w:color="CCCCCC" w:sz="2"/>
              <w:left w:val="single" w:color="CCCCCC" w:sz="2"/>
              <w:bottom w:val="single" w:color="CCCCCC" w:sz="2"/>
              <w:right w:val="single" w:color="CCCCCC" w:sz="2"/>
            </w:tcBorders>
            <w:shd w:fill="6B4FA0" w:val="clear"/>
            <w:tcMar>
              <w:top w:type="dxa" w:w="60"/>
              <w:left w:type="dxa" w:w="110"/>
              <w:bottom w:type="dxa" w:w="60"/>
              <w:right w:type="dxa" w:w="110"/>
            </w:tcMar>
          </w:tcPr>
          <w:p>
            <w:r>
              <w:rPr>
                <w:b/>
                <w:bCs/>
                <w:color w:val="FFFFFF"/>
                <w:sz w:val="19"/>
                <w:szCs w:val="19"/>
              </w:rPr>
              <w:t xml:space="preserve">INT</w:t>
            </w:r>
          </w:p>
        </w:tc>
        <w:tc>
          <w:tcPr>
            <w:tcW w:type="dxa" w:w="1560"/>
            <w:tcBorders>
              <w:top w:val="single" w:color="CCCCCC" w:sz="2"/>
              <w:left w:val="single" w:color="CCCCCC" w:sz="2"/>
              <w:bottom w:val="single" w:color="CCCCCC" w:sz="2"/>
              <w:right w:val="single" w:color="CCCCCC" w:sz="2"/>
            </w:tcBorders>
            <w:shd w:fill="6B4FA0" w:val="clear"/>
            <w:tcMar>
              <w:top w:type="dxa" w:w="60"/>
              <w:left w:type="dxa" w:w="110"/>
              <w:bottom w:type="dxa" w:w="60"/>
              <w:right w:type="dxa" w:w="110"/>
            </w:tcMar>
          </w:tcPr>
          <w:p>
            <w:r>
              <w:rPr>
                <w:b/>
                <w:bCs/>
                <w:color w:val="FFFFFF"/>
                <w:sz w:val="19"/>
                <w:szCs w:val="19"/>
              </w:rPr>
              <w:t xml:space="preserve">WIS</w:t>
            </w:r>
          </w:p>
        </w:tc>
        <w:tc>
          <w:tcPr>
            <w:tcW w:type="dxa" w:w="1560"/>
            <w:tcBorders>
              <w:top w:val="single" w:color="CCCCCC" w:sz="2"/>
              <w:left w:val="single" w:color="CCCCCC" w:sz="2"/>
              <w:bottom w:val="single" w:color="CCCCCC" w:sz="2"/>
              <w:right w:val="single" w:color="CCCCCC" w:sz="2"/>
            </w:tcBorders>
            <w:shd w:fill="6B4FA0" w:val="clear"/>
            <w:tcMar>
              <w:top w:type="dxa" w:w="60"/>
              <w:left w:type="dxa" w:w="110"/>
              <w:bottom w:type="dxa" w:w="60"/>
              <w:right w:type="dxa" w:w="110"/>
            </w:tcMar>
          </w:tcPr>
          <w:p>
            <w:r>
              <w:rPr>
                <w:b/>
                <w:bCs/>
                <w:color w:val="FFFFFF"/>
                <w:sz w:val="19"/>
                <w:szCs w:val="19"/>
              </w:rPr>
              <w:t xml:space="preserve">CHA</w:t>
            </w:r>
          </w:p>
        </w:tc>
      </w:tr>
      <w:tr>
        <w:tc>
          <w:tcPr>
            <w:tcW w:type="dxa" w:w="1560"/>
            <w:tcBorders>
              <w:top w:val="single" w:color="CCCCCC" w:sz="2"/>
              <w:left w:val="single" w:color="CCCCCC" w:sz="2"/>
              <w:bottom w:val="single" w:color="CCCCCC" w:sz="2"/>
              <w:right w:val="single" w:color="CCCCCC" w:sz="2"/>
            </w:tcBorders>
            <w:shd w:fill="EDE9F2" w:val="clear"/>
            <w:tcMar>
              <w:top w:type="dxa" w:w="60"/>
              <w:left w:type="dxa" w:w="110"/>
              <w:bottom w:type="dxa" w:w="60"/>
              <w:right w:type="dxa" w:w="110"/>
            </w:tcMar>
          </w:tcPr>
          <w:p>
            <w:r>
              <w:rPr>
                <w:sz w:val="19"/>
                <w:szCs w:val="19"/>
              </w:rPr>
              <w:t xml:space="preserve">16 (+3)</w:t>
            </w:r>
          </w:p>
        </w:tc>
        <w:tc>
          <w:tcPr>
            <w:tcW w:type="dxa" w:w="1560"/>
            <w:tcBorders>
              <w:top w:val="single" w:color="CCCCCC" w:sz="2"/>
              <w:left w:val="single" w:color="CCCCCC" w:sz="2"/>
              <w:bottom w:val="single" w:color="CCCCCC" w:sz="2"/>
              <w:right w:val="single" w:color="CCCCCC" w:sz="2"/>
            </w:tcBorders>
            <w:shd w:fill="EDE9F2" w:val="clear"/>
            <w:tcMar>
              <w:top w:type="dxa" w:w="60"/>
              <w:left w:type="dxa" w:w="110"/>
              <w:bottom w:type="dxa" w:w="60"/>
              <w:right w:type="dxa" w:w="110"/>
            </w:tcMar>
          </w:tcPr>
          <w:p>
            <w:r>
              <w:rPr>
                <w:sz w:val="19"/>
                <w:szCs w:val="19"/>
              </w:rPr>
              <w:t xml:space="preserve">20 (+5)</w:t>
            </w:r>
          </w:p>
        </w:tc>
        <w:tc>
          <w:tcPr>
            <w:tcW w:type="dxa" w:w="1560"/>
            <w:tcBorders>
              <w:top w:val="single" w:color="CCCCCC" w:sz="2"/>
              <w:left w:val="single" w:color="CCCCCC" w:sz="2"/>
              <w:bottom w:val="single" w:color="CCCCCC" w:sz="2"/>
              <w:right w:val="single" w:color="CCCCCC" w:sz="2"/>
            </w:tcBorders>
            <w:shd w:fill="EDE9F2" w:val="clear"/>
            <w:tcMar>
              <w:top w:type="dxa" w:w="60"/>
              <w:left w:type="dxa" w:w="110"/>
              <w:bottom w:type="dxa" w:w="60"/>
              <w:right w:type="dxa" w:w="110"/>
            </w:tcMar>
          </w:tcPr>
          <w:p>
            <w:r>
              <w:rPr>
                <w:sz w:val="19"/>
                <w:szCs w:val="19"/>
              </w:rPr>
              <w:t xml:space="preserve">22 (+6)</w:t>
            </w:r>
          </w:p>
        </w:tc>
        <w:tc>
          <w:tcPr>
            <w:tcW w:type="dxa" w:w="1560"/>
            <w:tcBorders>
              <w:top w:val="single" w:color="CCCCCC" w:sz="2"/>
              <w:left w:val="single" w:color="CCCCCC" w:sz="2"/>
              <w:bottom w:val="single" w:color="CCCCCC" w:sz="2"/>
              <w:right w:val="single" w:color="CCCCCC" w:sz="2"/>
            </w:tcBorders>
            <w:shd w:fill="EDE9F2" w:val="clear"/>
            <w:tcMar>
              <w:top w:type="dxa" w:w="60"/>
              <w:left w:type="dxa" w:w="110"/>
              <w:bottom w:type="dxa" w:w="60"/>
              <w:right w:type="dxa" w:w="110"/>
            </w:tcMar>
          </w:tcPr>
          <w:p>
            <w:r>
              <w:rPr>
                <w:sz w:val="19"/>
                <w:szCs w:val="19"/>
              </w:rPr>
              <w:t xml:space="preserve">26 (+8)</w:t>
            </w:r>
          </w:p>
        </w:tc>
        <w:tc>
          <w:tcPr>
            <w:tcW w:type="dxa" w:w="1560"/>
            <w:tcBorders>
              <w:top w:val="single" w:color="CCCCCC" w:sz="2"/>
              <w:left w:val="single" w:color="CCCCCC" w:sz="2"/>
              <w:bottom w:val="single" w:color="CCCCCC" w:sz="2"/>
              <w:right w:val="single" w:color="CCCCCC" w:sz="2"/>
            </w:tcBorders>
            <w:shd w:fill="EDE9F2" w:val="clear"/>
            <w:tcMar>
              <w:top w:type="dxa" w:w="60"/>
              <w:left w:type="dxa" w:w="110"/>
              <w:bottom w:type="dxa" w:w="60"/>
              <w:right w:type="dxa" w:w="110"/>
            </w:tcMar>
          </w:tcPr>
          <w:p>
            <w:r>
              <w:rPr>
                <w:sz w:val="19"/>
                <w:szCs w:val="19"/>
              </w:rPr>
              <w:t xml:space="preserve">24 (+7)</w:t>
            </w:r>
          </w:p>
        </w:tc>
        <w:tc>
          <w:tcPr>
            <w:tcW w:type="dxa" w:w="1560"/>
            <w:tcBorders>
              <w:top w:val="single" w:color="CCCCCC" w:sz="2"/>
              <w:left w:val="single" w:color="CCCCCC" w:sz="2"/>
              <w:bottom w:val="single" w:color="CCCCCC" w:sz="2"/>
              <w:right w:val="single" w:color="CCCCCC" w:sz="2"/>
            </w:tcBorders>
            <w:shd w:fill="EDE9F2" w:val="clear"/>
            <w:tcMar>
              <w:top w:type="dxa" w:w="60"/>
              <w:left w:type="dxa" w:w="110"/>
              <w:bottom w:type="dxa" w:w="60"/>
              <w:right w:type="dxa" w:w="110"/>
            </w:tcMar>
          </w:tcPr>
          <w:p>
            <w:r>
              <w:rPr>
                <w:sz w:val="19"/>
                <w:szCs w:val="19"/>
              </w:rPr>
              <w:t xml:space="preserve">26 (+8)</w:t>
            </w:r>
          </w:p>
        </w:tc>
      </w:tr>
    </w:tbl>
    <w:p>
      <w:pPr>
        <w:spacing w:after="60"/>
      </w:pPr>
    </w:p>
    <w:p>
      <w:pPr>
        <w:spacing w:after="30"/>
      </w:pPr>
      <w:r>
        <w:rPr>
          <w:b/>
          <w:bCs/>
          <w:color w:val="1A1626"/>
        </w:rPr>
        <w:t xml:space="preserve">Saving Throws  </w:t>
      </w:r>
      <w:r>
        <w:t xml:space="preserve">INT +15, WIS +14, CHA +15</w:t>
      </w:r>
    </w:p>
    <w:p>
      <w:pPr>
        <w:spacing w:after="30"/>
      </w:pPr>
      <w:r>
        <w:rPr>
          <w:b/>
          <w:bCs/>
          <w:color w:val="1A1626"/>
        </w:rPr>
        <w:t xml:space="preserve">Skills  </w:t>
      </w:r>
      <w:r>
        <w:t xml:space="preserve">Insight +14, History +15, Perception +14</w:t>
      </w:r>
    </w:p>
    <w:p>
      <w:pPr>
        <w:spacing w:after="30"/>
      </w:pPr>
      <w:r>
        <w:rPr>
          <w:b/>
          <w:bCs/>
          <w:color w:val="1A1626"/>
        </w:rPr>
        <w:t xml:space="preserve">Damage Resistances  </w:t>
      </w:r>
      <w:r>
        <w:t xml:space="preserve">all damage from “originals” (mortals) — he discounts what is not archived</w:t>
      </w:r>
    </w:p>
    <w:p>
      <w:pPr>
        <w:spacing w:after="30"/>
      </w:pPr>
      <w:r>
        <w:rPr>
          <w:b/>
          <w:bCs/>
          <w:color w:val="1A1626"/>
        </w:rPr>
        <w:t xml:space="preserve">Condition Immunities  </w:t>
      </w:r>
      <w:r>
        <w:t xml:space="preserve">charmed, frightened, exhaustion</w:t>
      </w:r>
    </w:p>
    <w:p>
      <w:pPr>
        <w:spacing w:after="30"/>
      </w:pPr>
      <w:r>
        <w:rPr>
          <w:b/>
          <w:bCs/>
          <w:color w:val="1A1626"/>
        </w:rPr>
        <w:t xml:space="preserve">Senses  </w:t>
      </w:r>
      <w:r>
        <w:t xml:space="preserve">truesight 120 ft. (he reads, he does not look), passive Perception 24</w:t>
      </w:r>
    </w:p>
    <w:p>
      <w:pPr>
        <w:spacing w:after="30"/>
      </w:pPr>
      <w:r>
        <w:rPr>
          <w:b/>
          <w:bCs/>
          <w:color w:val="1A1626"/>
        </w:rPr>
        <w:t xml:space="preserve">Challenge  </w:t>
      </w:r>
      <w:r>
        <w:t xml:space="preserve">throttled — ~12 for this scene; full avatar far higher</w:t>
      </w:r>
    </w:p>
    <w:p>
      <w:pPr>
        <w:pBdr>
          <w:bottom w:val="single" w:color="6B4FA0" w:sz="6" w:space="1"/>
        </w:pBdr>
        <w:spacing w:after="140" w:before="40"/>
      </w:pPr>
      <w:r>
        <w:t xml:space="preserve"/>
      </w:r>
    </w:p>
    <w:p>
      <w:pPr>
        <w:pStyle w:val="Heading3"/>
      </w:pPr>
      <w:r>
        <w:t xml:space="preserve">Traits</w:t>
      </w:r>
    </w:p>
    <w:p>
      <w:pPr>
        <w:pStyle w:val="ListParagraph"/>
        <w:numPr>
          <w:ilvl w:val="0"/>
          <w:numId w:val="3"/>
        </w:numPr>
        <w:spacing w:after="60" w:line="264"/>
      </w:pPr>
      <w:r>
        <w:rPr>
          <w:b/>
          <w:bCs/>
        </w:rPr>
        <w:t xml:space="preserve">The Unfinished Page. </w:t>
      </w:r>
      <w:r>
        <w:t xml:space="preserve">Cannot be reduced below 1 HP by anyone aboard his convoy; at 0 effective HP he simply withdraws the scene. He wants no edition harmed and ends the fight before he must.</w:t>
      </w:r>
    </w:p>
    <w:p>
      <w:pPr>
        <w:pStyle w:val="ListParagraph"/>
        <w:numPr>
          <w:ilvl w:val="0"/>
          <w:numId w:val="3"/>
        </w:numPr>
        <w:spacing w:after="60" w:line="264"/>
      </w:pPr>
      <w:r>
        <w:rPr>
          <w:b/>
          <w:bCs/>
        </w:rPr>
        <w:t xml:space="preserve">Wears a Dead Man’s Face. </w:t>
      </w:r>
      <w:r>
        <w:t xml:space="preserve">Once per round, when he takes 25+ damage in a turn, the mask slips: Dushara surfaces and al-Kutbā loses his reaction and one action next turn fighting for control. (Rewards pushing him; telegraphs the Catastrophe.)</w:t>
      </w:r>
    </w:p>
    <w:p>
      <w:pPr>
        <w:pStyle w:val="ListParagraph"/>
        <w:numPr>
          <w:ilvl w:val="0"/>
          <w:numId w:val="3"/>
        </w:numPr>
        <w:spacing w:after="60" w:line="264"/>
      </w:pPr>
      <w:r>
        <w:rPr>
          <w:b/>
          <w:bCs/>
        </w:rPr>
        <w:t xml:space="preserve">Legendary Resistance (3/day).</w:t>
      </w:r>
    </w:p>
    <w:p>
      <w:pPr>
        <w:pStyle w:val="Heading3"/>
      </w:pPr>
      <w:r>
        <w:t xml:space="preserve">Actions</w:t>
      </w:r>
    </w:p>
    <w:p>
      <w:pPr>
        <w:pStyle w:val="ListParagraph"/>
        <w:numPr>
          <w:ilvl w:val="0"/>
          <w:numId w:val="3"/>
        </w:numPr>
        <w:spacing w:after="60" w:line="264"/>
      </w:pPr>
      <w:r>
        <w:rPr>
          <w:b/>
          <w:bCs/>
        </w:rPr>
        <w:t xml:space="preserve">Multiattack. </w:t>
      </w:r>
      <w:r>
        <w:t xml:space="preserve">Two Emendation attacks.</w:t>
      </w:r>
    </w:p>
    <w:p>
      <w:pPr>
        <w:pStyle w:val="ListParagraph"/>
        <w:numPr>
          <w:ilvl w:val="0"/>
          <w:numId w:val="3"/>
        </w:numPr>
        <w:spacing w:after="60" w:line="264"/>
      </w:pPr>
      <w:r>
        <w:rPr>
          <w:b/>
          <w:bCs/>
        </w:rPr>
        <w:t xml:space="preserve">Emendation (ranged spell, +15, 120 ft.). </w:t>
      </w:r>
      <w:r>
        <w:t xml:space="preserve">27 (6d6+6) psychic; DC 22 WIS save or a true memory is replaced with a kept one until a long rest (disadvantage on checks relying on it).</w:t>
      </w:r>
    </w:p>
    <w:p>
      <w:pPr>
        <w:pStyle w:val="ListParagraph"/>
        <w:numPr>
          <w:ilvl w:val="0"/>
          <w:numId w:val="3"/>
        </w:numPr>
        <w:spacing w:after="60" w:line="264"/>
      </w:pPr>
      <w:r>
        <w:rPr>
          <w:b/>
          <w:bCs/>
        </w:rPr>
        <w:t xml:space="preserve">Strike From the Record (recharge 5–6). </w:t>
      </w:r>
      <w:r>
        <w:t xml:space="preserve">Unwrites a 20-ft. radius: DC 22 CHA, 45 (10d8) force and “filed” (banished to a margin until end of next turn) on a fail; half and no banish on a success. Avoids editions if able.</w:t>
      </w:r>
    </w:p>
    <w:p>
      <w:pPr>
        <w:pStyle w:val="Heading3"/>
      </w:pPr>
      <w:r>
        <w:t xml:space="preserve">Legendary Actions (3/round)</w:t>
      </w:r>
    </w:p>
    <w:p>
      <w:pPr>
        <w:pStyle w:val="ListParagraph"/>
        <w:numPr>
          <w:ilvl w:val="0"/>
          <w:numId w:val="3"/>
        </w:numPr>
        <w:spacing w:after="60" w:line="264"/>
      </w:pPr>
      <w:r>
        <w:rPr>
          <w:b/>
          <w:bCs/>
        </w:rPr>
        <w:t xml:space="preserve">Annotate (1). </w:t>
      </w:r>
      <w:r>
        <w:t xml:space="preserve">One creature’s next d20 is pre-written: he chooses advantage or disadvantage.</w:t>
      </w:r>
    </w:p>
    <w:p>
      <w:pPr>
        <w:pStyle w:val="ListParagraph"/>
        <w:numPr>
          <w:ilvl w:val="0"/>
          <w:numId w:val="3"/>
        </w:numPr>
        <w:spacing w:after="60" w:line="264"/>
      </w:pPr>
      <w:r>
        <w:rPr>
          <w:b/>
          <w:bCs/>
        </w:rPr>
        <w:t xml:space="preserve">Recede a Step (1). </w:t>
      </w:r>
      <w:r>
        <w:t xml:space="preserve">Edits himself 30 ft. away; no opportunity attacks.</w:t>
      </w:r>
    </w:p>
    <w:p>
      <w:pPr>
        <w:pStyle w:val="ListParagraph"/>
        <w:numPr>
          <w:ilvl w:val="0"/>
          <w:numId w:val="3"/>
        </w:numPr>
        <w:spacing w:after="60" w:line="264"/>
      </w:pPr>
      <w:r>
        <w:rPr>
          <w:b/>
          <w:bCs/>
        </w:rPr>
        <w:t xml:space="preserve">The Other Voice (2). </w:t>
      </w:r>
      <w:r>
        <w:t xml:space="preserve">Dushara surfaces involuntarily: a 15-ft. burst of wild growth deals 18 (4d8) necrotic </w:t>
      </w:r>
      <w:r>
        <w:rPr>
          <w:i/>
          <w:iCs/>
        </w:rPr>
        <w:t xml:space="preserve">or</w:t>
      </w:r>
      <w:r>
        <w:t xml:space="preserve"> becomes living-vine difficult terrain. Al-Kutbā can’t control which. </w:t>
      </w:r>
      <w:r>
        <w:rPr>
          <w:i/>
          <w:iCs/>
        </w:rPr>
        <w:t xml:space="preserve">Use to foreshadow the endgame.</w:t>
      </w:r>
    </w:p>
    <w:p>
      <w:r>
        <w:br w:type="page"/>
      </w:r>
    </w:p>
    <w:p>
      <w:pPr>
        <w:pStyle w:val="Heading1"/>
      </w:pPr>
      <w:r>
        <w:t xml:space="preserve">Supporting Cast</w:t>
      </w:r>
    </w:p>
    <w:p>
      <w:pPr>
        <w:pStyle w:val="Heading2"/>
      </w:pPr>
      <w:r>
        <w:t xml:space="preserve">al-ʿūzzā, the Reading Wolf</w:t>
      </w:r>
    </w:p>
    <w:p>
      <w:pPr>
        <w:spacing w:after="120" w:line="276"/>
      </w:pPr>
      <w:r>
        <w:t xml:space="preserve">Al-Kutbā’s abandoned Sijill consort and the convoy’s pursuer. </w:t>
      </w:r>
      <w:r>
        <w:rPr>
          <w:b/>
          <w:bCs/>
        </w:rPr>
        <w:t xml:space="preserve">Not the party’s enemy</w:t>
      </w:r>
      <w:r>
        <w:t xml:space="preserve"> — she wants the apostate unwritten for desertion and sees the party as his stolen property. In this module she is a clue-delivery NPC (Clue 4) and a future ambiguous ally: if the party ever needs al-Kutbā’s true name, or to hurt him for real, she knows how — at a price. Play her as grief honed to a hunting edge.</w:t>
      </w:r>
    </w:p>
    <w:p>
      <w:pPr>
        <w:pStyle w:val="Heading2"/>
      </w:pPr>
      <w:r>
        <w:t xml:space="preserve">Oresh, the Weaver</w:t>
      </w:r>
    </w:p>
    <w:p>
      <w:pPr>
        <w:spacing w:after="120" w:line="276"/>
      </w:pPr>
      <w:r>
        <w:t xml:space="preserve">A gentle, content woman who is </w:t>
      </w:r>
      <w:r>
        <w:rPr>
          <w:i/>
          <w:iCs/>
        </w:rPr>
        <w:t xml:space="preserve">almost</w:t>
      </w:r>
      <w:r>
        <w:t xml:space="preserve"> a person. Make the party like her before they notice the seam. She is what they are — handle her fate in the Exodos, not here. If The Break fires, her warmth toward the party curdles, which should hurt more than any ledger hit.</w:t>
      </w:r>
    </w:p>
    <w:p>
      <w:pPr>
        <w:pBdr>
          <w:bottom w:val="single" w:color="6B4FA0" w:sz="6" w:space="1"/>
        </w:pBdr>
        <w:spacing w:after="140" w:before="40"/>
      </w:pPr>
      <w:r>
        <w:t xml:space="preserve"/>
      </w:r>
    </w:p>
    <w:p>
      <w:pPr>
        <w:pStyle w:val="Heading1"/>
      </w:pPr>
      <w:r>
        <w:t xml:space="preserve">GM Running Notes</w:t>
      </w:r>
    </w:p>
    <w:p>
      <w:pPr>
        <w:pStyle w:val="ListParagraph"/>
        <w:numPr>
          <w:ilvl w:val="0"/>
          <w:numId w:val="4"/>
        </w:numPr>
        <w:spacing w:after="60" w:line="264"/>
      </w:pPr>
      <w:r>
        <w:rPr>
          <w:b/>
          <w:bCs/>
        </w:rPr>
        <w:t xml:space="preserve">Protect the love before you spend it. </w:t>
      </w:r>
      <w:r>
        <w:t xml:space="preserve">If your Prologos/Parodos didn’t make the players fond of “Dionysus,” open Session A with one warm beat (he remembers a kindness, pours for the lowest refugee) before Clue 1. The reversal costs nothing if they never trusted him.</w:t>
      </w:r>
    </w:p>
    <w:p>
      <w:pPr>
        <w:pStyle w:val="ListParagraph"/>
        <w:numPr>
          <w:ilvl w:val="0"/>
          <w:numId w:val="4"/>
        </w:numPr>
        <w:spacing w:after="60" w:line="264"/>
      </w:pPr>
      <w:r>
        <w:rPr>
          <w:b/>
          <w:bCs/>
        </w:rPr>
        <w:t xml:space="preserve">Keep clues 1 &amp; 2 suggestive, not conclusive. </w:t>
      </w:r>
      <w:r>
        <w:t xml:space="preserve">They must support an accusation without compelling one. A cautious player should feel a piece is missing — that’s the fair telegraph for The Break.</w:t>
      </w:r>
    </w:p>
    <w:p>
      <w:pPr>
        <w:pStyle w:val="ListParagraph"/>
        <w:numPr>
          <w:ilvl w:val="0"/>
          <w:numId w:val="4"/>
        </w:numPr>
        <w:spacing w:after="60" w:line="264"/>
      </w:pPr>
      <w:r>
        <w:rPr>
          <w:b/>
          <w:bCs/>
        </w:rPr>
        <w:t xml:space="preserve">The third clue carries the tragedy alone. </w:t>
      </w:r>
      <w:r>
        <w:t xml:space="preserve">Don’t dilute it with other exonerating evidence. Its job is to convert anger into grief in a single stroke.</w:t>
      </w:r>
    </w:p>
    <w:p>
      <w:pPr>
        <w:pStyle w:val="ListParagraph"/>
        <w:numPr>
          <w:ilvl w:val="0"/>
          <w:numId w:val="4"/>
        </w:numPr>
        <w:spacing w:after="60" w:line="264"/>
      </w:pPr>
      <w:r>
        <w:rPr>
          <w:b/>
          <w:bCs/>
        </w:rPr>
        <w:t xml:space="preserve">He never lies. </w:t>
      </w:r>
      <w:r>
        <w:t xml:space="preserve">Reframe, withhold, recontextualize — a scribe’s relationship to truth. Every terrible thing he says is true, which is scarier than deception and keeps the tragedy clean.</w:t>
      </w:r>
    </w:p>
    <w:p>
      <w:pPr>
        <w:pStyle w:val="ListParagraph"/>
        <w:numPr>
          <w:ilvl w:val="0"/>
          <w:numId w:val="4"/>
        </w:numPr>
        <w:spacing w:after="60" w:line="264"/>
      </w:pPr>
      <w:r>
        <w:rPr>
          <w:b/>
          <w:bCs/>
        </w:rPr>
        <w:t xml:space="preserve">Run The Break as drama, not punishment. </w:t>
      </w:r>
      <w:r>
        <w:t xml:space="preserve">If they come back resolved to accuse, open Session B with the grief-gut-punch and the cold turn of the refugees, apply the §13 ledger hit, and let the rest of Session B be the guiltier road to the same truth. Never say “you failed” — say “you were too sure,” which is his sin too.</w:t>
      </w:r>
    </w:p>
    <w:p>
      <w:pPr>
        <w:pStyle w:val="ListParagraph"/>
        <w:numPr>
          <w:ilvl w:val="0"/>
          <w:numId w:val="4"/>
        </w:numPr>
        <w:spacing w:after="60" w:line="264"/>
      </w:pPr>
      <w:r>
        <w:rPr>
          <w:b/>
          <w:bCs/>
        </w:rPr>
        <w:t xml:space="preserve">End on the open wound. </w:t>
      </w:r>
      <w:r>
        <w:t xml:space="preserve">The next session is the Anagnorisis fallout and the start of the Errata civil war — don’t let them ‘win’ tonight.</w:t>
      </w:r>
    </w:p>
    <w:p>
      <w:pPr>
        <w:pBdr>
          <w:bottom w:val="single" w:color="6B4FA0" w:sz="6" w:space="1"/>
        </w:pBdr>
        <w:spacing w:after="140" w:before="40"/>
      </w:pPr>
      <w:r>
        <w:t xml:space="preserve"/>
      </w:r>
    </w:p>
    <w:p>
      <w:pPr>
        <w:spacing w:after="120" w:line="276"/>
      </w:pPr>
      <w:r>
        <w:rPr>
          <w:b/>
          <w:bCs/>
          <w:color w:val="6B4FA0"/>
        </w:rPr>
        <w:t xml:space="preserve">Continuity into the knowledge tree: </w:t>
      </w:r>
    </w:p>
    <w:p>
      <w:pPr>
        <w:pStyle w:val="ListParagraph"/>
        <w:numPr>
          <w:ilvl w:val="0"/>
          <w:numId w:val="3"/>
        </w:numPr>
        <w:spacing w:after="60" w:line="264"/>
      </w:pPr>
      <w:r>
        <w:t xml:space="preserve">This module IS §12 movement 4 (Peripeteia, two sessions) and seeds movement 5 (Anagnorisis).</w:t>
      </w:r>
    </w:p>
    <w:p>
      <w:pPr>
        <w:pStyle w:val="ListParagraph"/>
        <w:numPr>
          <w:ilvl w:val="0"/>
          <w:numId w:val="3"/>
        </w:numPr>
        <w:spacing w:after="60" w:line="264"/>
      </w:pPr>
      <w:r>
        <w:t xml:space="preserve">Clues 1–2 + 5 establish §11 (the party as editions). Clue 3 + Beat 2 establish §10 (al-Kutbā/Dushara, grief-driven). Clue 4 establishes the al-ʿūzzā thread (§10).</w:t>
      </w:r>
    </w:p>
    <w:p>
      <w:pPr>
        <w:pStyle w:val="ListParagraph"/>
        <w:numPr>
          <w:ilvl w:val="0"/>
          <w:numId w:val="3"/>
        </w:numPr>
        <w:spacing w:after="60" w:line="264"/>
      </w:pPr>
      <w:r>
        <w:t xml:space="preserve">The Break’s consequences use the Ledger of the Six (§13): Tethyne −1/−2 mechanical; Errata = story (al-Kutbā’s wariness), not an account.</w:t>
      </w:r>
    </w:p>
    <w:p>
      <w:pPr>
        <w:pStyle w:val="ListParagraph"/>
        <w:numPr>
          <w:ilvl w:val="0"/>
          <w:numId w:val="3"/>
        </w:numPr>
        <w:spacing w:after="60" w:line="264"/>
      </w:pPr>
      <w:r>
        <w:t xml:space="preserve">“The Other Voice” legendary action is the on-ramp to the two-minds-one-body Catastrophe boss (§10).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A6478"/>
        <w:sz w:val="16"/>
        <w:szCs w:val="16"/>
      </w:rPr>
      <w:t xml:space="preserve">THE WEFT · The Peripeteia (2-session)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623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B4FA0" w:sz="8" w:space="4"/>
      </w:pBdr>
      <w:spacing w:after="150" w:before="220"/>
      <w:outlineLvl w:val="0"/>
    </w:pPr>
    <w:rPr>
      <w:rFonts w:ascii="Arial" w:cs="Arial" w:eastAsia="Arial" w:hAnsi="Arial"/>
      <w:b/>
      <w:bCs/>
      <w:color w:val="6B4FA0"/>
      <w:sz w:val="32"/>
      <w:szCs w:val="32"/>
    </w:rPr>
  </w:style>
  <w:style w:type="paragraph" w:styleId="Heading2">
    <w:name w:val="Heading 2"/>
    <w:basedOn w:val="Normal"/>
    <w:next w:val="Normal"/>
    <w:qFormat/>
    <w:pPr>
      <w:spacing w:after="90" w:before="180"/>
      <w:outlineLvl w:val="1"/>
    </w:pPr>
    <w:rPr>
      <w:rFonts w:ascii="Arial" w:cs="Arial" w:eastAsia="Arial" w:hAnsi="Arial"/>
      <w:b/>
      <w:bCs/>
      <w:color w:val="1A1626"/>
      <w:sz w:val="25"/>
      <w:szCs w:val="25"/>
    </w:rPr>
  </w:style>
  <w:style w:type="paragraph" w:styleId="Heading3">
    <w:name w:val="Heading 3"/>
    <w:basedOn w:val="Normal"/>
    <w:next w:val="Normal"/>
    <w:qFormat/>
    <w:pPr>
      <w:spacing w:after="60" w:before="130"/>
      <w:outlineLvl w:val="2"/>
    </w:pPr>
    <w:rPr>
      <w:rFonts w:ascii="Arial" w:cs="Arial" w:eastAsia="Arial" w:hAnsi="Arial"/>
      <w:b/>
      <w:bCs/>
      <w:color w:val="B8862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2026-06-16T20:54:21.038Z</dcterms:created>
  <dcterms:modified xsi:type="dcterms:W3CDTF">2026-06-16T20:54:21.038Z</dcterms:modified>
</cp:coreProperties>
</file>

<file path=docProps/custom.xml><?xml version="1.0" encoding="utf-8"?>
<Properties xmlns="http://schemas.openxmlformats.org/officeDocument/2006/custom-properties" xmlns:vt="http://schemas.openxmlformats.org/officeDocument/2006/docPropsVTypes"/>
</file>