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F3E8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12</w:t>
      </w:r>
    </w:p>
    <w:p w14:paraId="790AFAB9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Расчет заземляющих устройств</w:t>
      </w:r>
    </w:p>
    <w:p w14:paraId="483332A4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Цель работы</w:t>
      </w:r>
    </w:p>
    <w:p w14:paraId="7D1F3724">
      <w:pPr>
        <w:autoSpaceDE w:val="0"/>
        <w:autoSpaceDN w:val="0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Определение необходимого количества заземляющих устройств в отсутствии или при обрыве нулевого провода при соприкосновении человека с токоведущими частями.</w:t>
      </w:r>
    </w:p>
    <w:p w14:paraId="26459FA8">
      <w:pPr>
        <w:pBdr>
          <w:bottom w:val="single" w:color="4F81BD" w:sz="8" w:space="4"/>
        </w:pBdr>
        <w:autoSpaceDE w:val="0"/>
        <w:autoSpaceDN w:val="0"/>
        <w:spacing w:after="300" w:line="360" w:lineRule="auto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Теоретическая часть</w:t>
      </w:r>
    </w:p>
    <w:p w14:paraId="6F753D2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Предметом данной задачи является изучение факторов, определяющих степень опасности поражения электрическим током человека. Проводится анализ схем включения человека в цепь тока и выясняется процесс растекания тока при замыкании на землю. В качестве методов обеспечения электробезопасности изучаются защитные свойства изоляции, заземление, индивидуальные защитные средства, защитное отключение, блокировка и сигнализация, методы защиты от перехода высшего напряжения в сеть низшего и от опасности остающихся зарядов. Рассматриваются основные требования безопасности к устройству электроустановок, классификация электроустановок по напряжению с точки зрения мер безопасности, классификация помещений, классификация и характеристика работ, производимых в электроустановках.</w:t>
      </w:r>
      <w:r>
        <w:rPr>
          <w:color w:val="000000"/>
          <w:sz w:val="32"/>
          <w:szCs w:val="32"/>
        </w:rPr>
        <w:t xml:space="preserve"> </w:t>
      </w:r>
    </w:p>
    <w:p w14:paraId="4D8C93C0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Виды воздействия электрического тока: </w:t>
      </w:r>
    </w:p>
    <w:p w14:paraId="493DBA68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Термическое. </w:t>
      </w:r>
      <w:r>
        <w:rPr>
          <w:sz w:val="32"/>
          <w:szCs w:val="32"/>
        </w:rPr>
        <w:t>Р</w:t>
      </w:r>
      <w:r>
        <w:rPr>
          <w:rFonts w:ascii="symbol³&lt;/FONT" w:hAnsi="symbol³&lt;/FONT"/>
          <w:sz w:val="32"/>
          <w:szCs w:val="32"/>
        </w:rPr>
        <w:t xml:space="preserve">езультат воздействия - ожоги, нагрев ткани. </w:t>
      </w:r>
    </w:p>
    <w:p w14:paraId="55C9D5DE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Электролитическое. Результат воздействия - разложение органики внутри человека (кровь). </w:t>
      </w:r>
    </w:p>
    <w:p w14:paraId="7140E92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Б</w:t>
      </w:r>
      <w:r>
        <w:rPr>
          <w:rFonts w:ascii="symbol³&lt;/FONT" w:hAnsi="symbol³&lt;/FONT"/>
          <w:sz w:val="32"/>
          <w:szCs w:val="32"/>
        </w:rPr>
        <w:t xml:space="preserve">иологическое. Результат воздействия - спазм (сокращение) мышц. </w:t>
      </w:r>
    </w:p>
    <w:p w14:paraId="72F983F8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Электродинамическое (механическое), приводит к разрыву мышц. </w:t>
      </w:r>
      <w:r>
        <w:rPr>
          <w:rFonts w:ascii="symbol³&lt;/FONT" w:hAnsi="symbol³&lt;/FONT"/>
          <w:bCs/>
          <w:color w:val="000000"/>
          <w:sz w:val="32"/>
          <w:szCs w:val="32"/>
        </w:rPr>
        <w:t>Электротравма</w:t>
      </w:r>
      <w:r>
        <w:rPr>
          <w:rFonts w:ascii="symbol³&lt;/FONT" w:hAnsi="symbol³&lt;/FONT"/>
          <w:sz w:val="32"/>
          <w:szCs w:val="32"/>
        </w:rPr>
        <w:t xml:space="preserve"> - травма, полученная в результате воздействия электрического тока или электрической дуги. Виды электротравм: </w:t>
      </w:r>
    </w:p>
    <w:p w14:paraId="724741EE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 xml:space="preserve">Местная электротравма (вероятность 20%); </w:t>
      </w:r>
    </w:p>
    <w:p w14:paraId="37F870EC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 xml:space="preserve">Электрические удары (25%); </w:t>
      </w:r>
    </w:p>
    <w:p w14:paraId="76474559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 xml:space="preserve">Смешанные (55%). </w:t>
      </w:r>
    </w:p>
    <w:p w14:paraId="0D3D55AE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Виды местных электротравм: </w:t>
      </w:r>
    </w:p>
    <w:p w14:paraId="049B3AA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Ожог. Получается в результате воздействия электрической дуги. Симптомы - покраснение, образование пузыря, омертвление кожи, обугливание. </w:t>
      </w:r>
    </w:p>
    <w:p w14:paraId="7015418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Электрические знаки. Сопротивление кожи и внутренних органов, приводит к пробою кожи в виде кружочка в месте прохождения электрического тока через кожу. </w:t>
      </w:r>
    </w:p>
    <w:p w14:paraId="6BF0688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М</w:t>
      </w:r>
      <w:r>
        <w:rPr>
          <w:rFonts w:ascii="symbol³&lt;/FONT" w:hAnsi="symbol³&lt;/FONT"/>
          <w:sz w:val="32"/>
          <w:szCs w:val="32"/>
        </w:rPr>
        <w:t xml:space="preserve">еталлизация кожи. При возникновении короткого замыкания происходит расплавление электрических частей, и разлетающиеся в разные стороны частицы металла попадают на кожу. </w:t>
      </w:r>
    </w:p>
    <w:p w14:paraId="3FC39913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М</w:t>
      </w:r>
      <w:r>
        <w:rPr>
          <w:rFonts w:ascii="symbol³&lt;/FONT" w:hAnsi="symbol³&lt;/FONT"/>
          <w:sz w:val="32"/>
          <w:szCs w:val="32"/>
        </w:rPr>
        <w:t xml:space="preserve">еханические повреждения. </w:t>
      </w:r>
    </w:p>
    <w:p w14:paraId="2E74276B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Э</w:t>
      </w:r>
      <w:r>
        <w:rPr>
          <w:rFonts w:ascii="symbol³&lt;/FONT" w:hAnsi="symbol³&lt;/FONT"/>
          <w:sz w:val="32"/>
          <w:szCs w:val="32"/>
        </w:rPr>
        <w:t xml:space="preserve">лектроавтономные. При возникновении электрической дуги происходит яркая вспышка и воздействует на сетчатку глаза (яркие электрические искры при сварке). </w:t>
      </w:r>
    </w:p>
    <w:p w14:paraId="1E50DED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Смешанные. </w:t>
      </w:r>
    </w:p>
    <w:p w14:paraId="65210340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Степени воздействия электрических ударов на тело человека: </w:t>
      </w:r>
    </w:p>
    <w:p w14:paraId="1EE8CAA6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rFonts w:ascii="symbol³&lt;/FONT" w:hAnsi="symbol³&lt;/FONT"/>
          <w:sz w:val="32"/>
          <w:szCs w:val="32"/>
        </w:rPr>
        <w:t xml:space="preserve"> 1 степень - судорожные едва ощутимые сокращения мышц; </w:t>
      </w:r>
    </w:p>
    <w:p w14:paraId="088B7EDD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rFonts w:ascii="symbol³&lt;/FONT" w:hAnsi="symbol³&lt;/FONT"/>
          <w:sz w:val="32"/>
          <w:szCs w:val="32"/>
        </w:rPr>
        <w:t xml:space="preserve"> 2 степень - судорожные сокращения мышц без потери сознания; </w:t>
      </w:r>
    </w:p>
    <w:p w14:paraId="7EA0E745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rFonts w:ascii="symbol³&lt;/FONT" w:hAnsi="symbol³&lt;/FONT"/>
          <w:sz w:val="32"/>
          <w:szCs w:val="32"/>
        </w:rPr>
        <w:t xml:space="preserve"> 3 степень - потеря сознания с сохранением дыхания и работы сердца; </w:t>
      </w:r>
    </w:p>
    <w:p w14:paraId="065EEA8C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rFonts w:ascii="symbol³&lt;/FONT" w:hAnsi="symbol³&lt;/FONT"/>
          <w:sz w:val="32"/>
          <w:szCs w:val="32"/>
        </w:rPr>
        <w:t xml:space="preserve"> 4 степень - потеря сознания с нарушением дыхания и работы сердца; </w:t>
      </w:r>
    </w:p>
    <w:p w14:paraId="4CA038A3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sz w:val="32"/>
          <w:szCs w:val="32"/>
        </w:rPr>
        <w:t xml:space="preserve"> </w:t>
      </w:r>
      <w:r>
        <w:rPr>
          <w:rFonts w:ascii="symbol³&lt;/FONT" w:hAnsi="symbol³&lt;/FONT"/>
          <w:sz w:val="32"/>
          <w:szCs w:val="32"/>
        </w:rPr>
        <w:t xml:space="preserve">5 степень - клиническая смерть. </w:t>
      </w:r>
    </w:p>
    <w:p w14:paraId="0434BFD5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Виды смерти: </w:t>
      </w:r>
    </w:p>
    <w:p w14:paraId="48343577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Б</w:t>
      </w:r>
      <w:r>
        <w:rPr>
          <w:rFonts w:ascii="symbol³&lt;/FONT" w:hAnsi="symbol³&lt;/FONT"/>
          <w:sz w:val="32"/>
          <w:szCs w:val="32"/>
        </w:rPr>
        <w:t xml:space="preserve">иологическая - необратимое прекращение биологических процессов в клетках и тканях организма. </w:t>
      </w:r>
    </w:p>
    <w:p w14:paraId="55CE2BF0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К</w:t>
      </w:r>
      <w:r>
        <w:rPr>
          <w:rFonts w:ascii="symbol³&lt;/FONT" w:hAnsi="symbol³&lt;/FONT"/>
          <w:sz w:val="32"/>
          <w:szCs w:val="32"/>
        </w:rPr>
        <w:t xml:space="preserve">линическая - короткий период (в пределах 4-6 минут, точное время зависит от температуры окружающей среды) после прекращения дыхания и сердечной деятельности, в который еще сохраняется жизнеспособность тканей. В это период существует возможность вернуть человека к жизни. </w:t>
      </w:r>
    </w:p>
    <w:p w14:paraId="70FF9613">
      <w:pPr>
        <w:numPr>
          <w:ilvl w:val="0"/>
          <w:numId w:val="4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Электрические параметры: </w:t>
      </w:r>
    </w:p>
    <w:p w14:paraId="36F07075">
      <w:pPr>
        <w:tabs>
          <w:tab w:val="left" w:pos="360"/>
        </w:tabs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1.1. С</w:t>
      </w:r>
      <w:r>
        <w:rPr>
          <w:rFonts w:ascii="symbol³&lt;/FONT" w:hAnsi="symbol³&lt;/FONT"/>
          <w:sz w:val="32"/>
          <w:szCs w:val="32"/>
        </w:rPr>
        <w:t>опротивлени</w:t>
      </w:r>
      <w:r>
        <w:rPr>
          <w:sz w:val="32"/>
          <w:szCs w:val="32"/>
        </w:rPr>
        <w:t>е</w:t>
      </w:r>
      <w:r>
        <w:rPr>
          <w:rFonts w:ascii="symbol³&lt;/FONT" w:hAnsi="symbol³&lt;/FONT"/>
          <w:sz w:val="32"/>
          <w:szCs w:val="32"/>
        </w:rPr>
        <w:t xml:space="preserve"> электрод</w:t>
      </w:r>
      <w:r>
        <w:rPr>
          <w:sz w:val="32"/>
          <w:szCs w:val="32"/>
        </w:rPr>
        <w:t>а</w:t>
      </w:r>
      <w:r>
        <w:rPr>
          <w:rFonts w:ascii="symbol³&lt;/FONT" w:hAnsi="symbol³&lt;/FONT"/>
          <w:sz w:val="32"/>
          <w:szCs w:val="32"/>
        </w:rPr>
        <w:t xml:space="preserve">. </w:t>
      </w:r>
    </w:p>
    <w:p w14:paraId="5E159C1E">
      <w:pPr>
        <w:tabs>
          <w:tab w:val="left" w:pos="360"/>
        </w:tabs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 xml:space="preserve">1.2. </w:t>
      </w:r>
      <w:r>
        <w:rPr>
          <w:rFonts w:ascii="symbol³&lt;/FONT" w:hAnsi="symbol³&lt;/FONT"/>
          <w:sz w:val="32"/>
          <w:szCs w:val="32"/>
        </w:rPr>
        <w:t xml:space="preserve">Сила тока. </w:t>
      </w:r>
      <w:r>
        <w:rPr>
          <w:sz w:val="32"/>
          <w:szCs w:val="32"/>
        </w:rPr>
        <w:t>Ток в</w:t>
      </w:r>
      <w:r>
        <w:rPr>
          <w:rFonts w:ascii="symbol³&lt;/FONT" w:hAnsi="symbol³&lt;/FONT"/>
          <w:sz w:val="32"/>
          <w:szCs w:val="32"/>
        </w:rPr>
        <w:t xml:space="preserve">ызывает повышенное потовыделение и усиливает кровообращение в местах прохождения электрического тока. </w:t>
      </w:r>
    </w:p>
    <w:p w14:paraId="09ADE0C2">
      <w:pPr>
        <w:tabs>
          <w:tab w:val="left" w:pos="360"/>
        </w:tabs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 xml:space="preserve">1.3. </w:t>
      </w:r>
      <w:r>
        <w:rPr>
          <w:rFonts w:ascii="symbol³&lt;/FONT" w:hAnsi="symbol³&lt;/FONT"/>
          <w:sz w:val="32"/>
          <w:szCs w:val="32"/>
        </w:rPr>
        <w:t>Напряжение. Чем выше напряжение, тем меньше сопротивление тела человека. Сопротивление человека может изменяться в 200 раз. При напряжении &gt;50 В сопротивление человека равно 1000 Ом, при напряжении &lt;50 В сопротивление человека равно 6000 Ом.</w:t>
      </w:r>
    </w:p>
    <w:p w14:paraId="2BB34A72">
      <w:pPr>
        <w:numPr>
          <w:ilvl w:val="0"/>
          <w:numId w:val="4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Величина и длительность воздействия тока на тело человека. </w:t>
      </w:r>
      <w:r>
        <w:rPr>
          <w:rFonts w:ascii="symbol³&lt;/FONT" w:hAnsi="symbol³&lt;/FONT"/>
          <w:sz w:val="32"/>
          <w:szCs w:val="32"/>
        </w:rPr>
        <w:br w:type="textWrapping"/>
      </w:r>
      <w:r>
        <w:rPr>
          <w:rFonts w:ascii="symbol³&lt;/FONT" w:hAnsi="symbol³&lt;/FONT"/>
          <w:sz w:val="32"/>
          <w:szCs w:val="32"/>
        </w:rPr>
        <w:t>Виды тока</w:t>
      </w:r>
      <w:r>
        <w:rPr>
          <w:rFonts w:ascii="symbol³&lt;/FONT" w:hAnsi="symbol³&lt;/FONT"/>
          <w:sz w:val="32"/>
          <w:szCs w:val="32"/>
          <w:u w:val="single"/>
        </w:rPr>
        <w:t>:</w:t>
      </w:r>
      <w:r>
        <w:rPr>
          <w:rFonts w:ascii="symbol³&lt;/FONT" w:hAnsi="symbol³&lt;/FONT"/>
          <w:sz w:val="32"/>
          <w:szCs w:val="32"/>
        </w:rPr>
        <w:t xml:space="preserve"> </w:t>
      </w:r>
    </w:p>
    <w:p w14:paraId="428B3CF0">
      <w:pPr>
        <w:tabs>
          <w:tab w:val="left" w:pos="360"/>
        </w:tabs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>ощутимый ток</w:t>
      </w:r>
      <w:r>
        <w:rPr>
          <w:sz w:val="32"/>
          <w:szCs w:val="32"/>
        </w:rPr>
        <w:t xml:space="preserve"> </w:t>
      </w:r>
      <w:r>
        <w:rPr>
          <w:rFonts w:ascii="symbol³&lt;/FONT" w:hAnsi="symbol³&lt;/FONT"/>
          <w:sz w:val="32"/>
          <w:szCs w:val="32"/>
        </w:rPr>
        <w:t>(1 мА для переменного напряжения)</w:t>
      </w:r>
      <w:r>
        <w:rPr>
          <w:sz w:val="32"/>
          <w:szCs w:val="32"/>
        </w:rPr>
        <w:t xml:space="preserve"> – это электрический ток, вызывающий при прохождении через организм человека ощутимые раздражения;</w:t>
      </w:r>
    </w:p>
    <w:p w14:paraId="60BE0C2C">
      <w:pPr>
        <w:tabs>
          <w:tab w:val="left" w:pos="360"/>
        </w:tabs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>неотпускающий ток 10-15 мА</w:t>
      </w:r>
      <w:r>
        <w:rPr>
          <w:sz w:val="32"/>
          <w:szCs w:val="32"/>
        </w:rPr>
        <w:t xml:space="preserve"> электрический ток, вызывающий при прохождении через организм человека непреодолимые судорожные сокращения мышц руки, в который зажат проводник;</w:t>
      </w:r>
    </w:p>
    <w:p w14:paraId="4F20684C">
      <w:pPr>
        <w:tabs>
          <w:tab w:val="left" w:pos="360"/>
        </w:tabs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rFonts w:ascii="symbol³&lt;/FONT" w:hAnsi="symbol³&lt;/FONT"/>
          <w:sz w:val="32"/>
          <w:szCs w:val="32"/>
        </w:rPr>
        <w:t xml:space="preserve"> </w:t>
      </w:r>
      <w:r>
        <w:rPr>
          <w:sz w:val="32"/>
          <w:szCs w:val="32"/>
        </w:rPr>
        <w:t xml:space="preserve">фибрилляционный ток </w:t>
      </w:r>
      <w:r>
        <w:rPr>
          <w:rFonts w:ascii="symbol³&lt;/FONT" w:hAnsi="symbol³&lt;/FONT"/>
          <w:sz w:val="32"/>
          <w:szCs w:val="32"/>
        </w:rPr>
        <w:t>0,1 А</w:t>
      </w:r>
      <w:r>
        <w:rPr>
          <w:sz w:val="32"/>
          <w:szCs w:val="32"/>
        </w:rPr>
        <w:t xml:space="preserve"> электрический ток, вызывающий при прохождении через организм фибрилляцию сердца;</w:t>
      </w:r>
    </w:p>
    <w:p w14:paraId="012C212C">
      <w:pPr>
        <w:numPr>
          <w:ilvl w:val="0"/>
          <w:numId w:val="5"/>
        </w:numPr>
        <w:tabs>
          <w:tab w:val="left" w:pos="360"/>
          <w:tab w:val="left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Смертельный путь прохождения тока: голова - левая рука (левая нога). </w:t>
      </w:r>
    </w:p>
    <w:p w14:paraId="292FE258">
      <w:pPr>
        <w:numPr>
          <w:ilvl w:val="0"/>
          <w:numId w:val="5"/>
        </w:numPr>
        <w:tabs>
          <w:tab w:val="left" w:pos="360"/>
          <w:tab w:val="left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Род и частота тока (напряжение до 500 В). Переменный ток опаснее постоянного. При повышении частоты тока до 50 Гц возрастает вероятность летального исхода, при дальнейшем увеличении частоты тока опасность снижается. </w:t>
      </w:r>
    </w:p>
    <w:p w14:paraId="4B14BE81">
      <w:pPr>
        <w:numPr>
          <w:ilvl w:val="0"/>
          <w:numId w:val="5"/>
        </w:numPr>
        <w:tabs>
          <w:tab w:val="left" w:pos="360"/>
          <w:tab w:val="left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Индивидуальные характеристики человека: </w:t>
      </w:r>
    </w:p>
    <w:p w14:paraId="1C96DECF">
      <w:pPr>
        <w:spacing w:line="360" w:lineRule="auto"/>
        <w:ind w:left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- состояние здоровья; </w:t>
      </w:r>
    </w:p>
    <w:p w14:paraId="35A3B8D5">
      <w:pPr>
        <w:spacing w:line="360" w:lineRule="auto"/>
        <w:ind w:left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- сердечно-сосудистые заболевания; </w:t>
      </w:r>
    </w:p>
    <w:p w14:paraId="05319E4F">
      <w:pPr>
        <w:spacing w:line="360" w:lineRule="auto"/>
        <w:ind w:left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- кожные заболевания. </w:t>
      </w:r>
    </w:p>
    <w:p w14:paraId="00477847">
      <w:pPr>
        <w:tabs>
          <w:tab w:val="left" w:pos="360"/>
        </w:tabs>
        <w:ind w:firstLine="709"/>
        <w:jc w:val="both"/>
        <w:rPr>
          <w:rFonts w:ascii="symbol³&lt;/FONT" w:hAnsi="symbol³&lt;/FONT"/>
          <w:sz w:val="32"/>
          <w:szCs w:val="32"/>
        </w:rPr>
      </w:pPr>
    </w:p>
    <w:p w14:paraId="208DC049">
      <w:pPr>
        <w:shd w:val="clear" w:color="auto" w:fill="FFFFFF"/>
        <w:autoSpaceDE w:val="0"/>
        <w:autoSpaceDN w:val="0"/>
        <w:adjustRightInd w:val="0"/>
        <w:ind w:left="708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Исходные данные</w:t>
      </w:r>
    </w:p>
    <w:p w14:paraId="670C8F45">
      <w:pPr>
        <w:shd w:val="clear" w:color="auto" w:fill="FFFFFF"/>
        <w:autoSpaceDE w:val="0"/>
        <w:autoSpaceDN w:val="0"/>
        <w:adjustRightInd w:val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Таблица 12.1.</w:t>
      </w:r>
    </w:p>
    <w:p w14:paraId="764B4326">
      <w:pPr>
        <w:shd w:val="clear" w:color="auto" w:fill="FFFFFF"/>
        <w:autoSpaceDE w:val="0"/>
        <w:autoSpaceDN w:val="0"/>
        <w:adjustRightInd w:val="0"/>
        <w:rPr>
          <w:color w:val="000000"/>
          <w:sz w:val="32"/>
          <w:szCs w:val="32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720"/>
        <w:gridCol w:w="900"/>
        <w:gridCol w:w="900"/>
        <w:gridCol w:w="720"/>
        <w:gridCol w:w="900"/>
        <w:gridCol w:w="720"/>
        <w:gridCol w:w="720"/>
        <w:gridCol w:w="900"/>
        <w:gridCol w:w="900"/>
        <w:gridCol w:w="900"/>
        <w:gridCol w:w="900"/>
      </w:tblGrid>
      <w:tr w14:paraId="1644B5F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8" w:hRule="atLeast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FDE9D9"/>
          </w:tcPr>
          <w:p w14:paraId="3D60E96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846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20A0457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Предпоследняя цифра номера студенческого билета</w:t>
            </w:r>
          </w:p>
        </w:tc>
      </w:tr>
      <w:tr w14:paraId="2602608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20" w:hRule="atLeast"/>
          <w:jc w:val="center"/>
        </w:trPr>
        <w:tc>
          <w:tcPr>
            <w:tcW w:w="7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564333A9">
            <w:pPr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4BBD15F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785C650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502427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72FD0E5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54A418B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5507C78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4A2AA85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7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42A9E00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8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6A2C860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357334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</w:tr>
      <w:tr w14:paraId="08098731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86" w:hRule="atLeast"/>
          <w:jc w:val="center"/>
        </w:trPr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24B413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Вид грунта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724C6F3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Песок влажный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3AA6B4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Сухой песок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14F1915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Сугли</w:t>
            </w:r>
          </w:p>
          <w:p w14:paraId="7F8AC2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нок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63A3DD4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Глина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558E775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Чернозём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0DFC2D0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Торф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7FE49E4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Песок влажный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7678C05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Сухой песок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176A954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Сугли</w:t>
            </w:r>
          </w:p>
          <w:p w14:paraId="678B325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нок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0F6A5DF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Чернозём</w:t>
            </w:r>
          </w:p>
        </w:tc>
      </w:tr>
      <w:tr w14:paraId="0CDAA39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18" w:hRule="atLeast"/>
          <w:jc w:val="center"/>
        </w:trPr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7EA9522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i/>
                <w:color w:val="000000"/>
                <w:sz w:val="32"/>
                <w:szCs w:val="32"/>
              </w:rPr>
              <w:t xml:space="preserve">р </w:t>
            </w:r>
            <w:r>
              <w:rPr>
                <w:color w:val="000000"/>
                <w:sz w:val="32"/>
                <w:szCs w:val="32"/>
              </w:rPr>
              <w:t>, Ом.м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03FC201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500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705CCA0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2271653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80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6931DB9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3BB6F48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7F7B056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25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19F45C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3F5396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49F12C9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6397E1B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</w:tr>
    </w:tbl>
    <w:p w14:paraId="365CAE3F">
      <w:pPr>
        <w:shd w:val="clear" w:color="auto" w:fill="FFFFFF"/>
        <w:autoSpaceDE w:val="0"/>
        <w:autoSpaceDN w:val="0"/>
        <w:adjustRightInd w:val="0"/>
        <w:ind w:firstLine="708"/>
        <w:jc w:val="right"/>
        <w:rPr>
          <w:color w:val="000000"/>
          <w:sz w:val="32"/>
          <w:szCs w:val="32"/>
        </w:rPr>
      </w:pPr>
    </w:p>
    <w:p w14:paraId="6620C0F1">
      <w:pPr>
        <w:shd w:val="clear" w:color="auto" w:fill="FFFFFF"/>
        <w:autoSpaceDE w:val="0"/>
        <w:autoSpaceDN w:val="0"/>
        <w:adjustRightInd w:val="0"/>
        <w:ind w:firstLine="708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Таблица 12.2.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960"/>
        <w:gridCol w:w="660"/>
        <w:gridCol w:w="720"/>
        <w:gridCol w:w="720"/>
        <w:gridCol w:w="720"/>
        <w:gridCol w:w="720"/>
        <w:gridCol w:w="720"/>
        <w:gridCol w:w="720"/>
        <w:gridCol w:w="720"/>
        <w:gridCol w:w="720"/>
        <w:gridCol w:w="644"/>
      </w:tblGrid>
      <w:tr w14:paraId="0FFF1E9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42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DAEEF3"/>
          </w:tcPr>
          <w:p w14:paraId="673C1509">
            <w:pPr>
              <w:shd w:val="clear" w:color="auto" w:fill="FFFFFF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Пара</w:t>
            </w:r>
          </w:p>
          <w:p w14:paraId="56B26124">
            <w:pPr>
              <w:shd w:val="clear" w:color="auto" w:fill="FFFFFF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метры</w:t>
            </w:r>
          </w:p>
        </w:tc>
        <w:tc>
          <w:tcPr>
            <w:tcW w:w="706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9383414">
            <w:pPr>
              <w:pStyle w:val="2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Последняя цифра номера студенческого билета</w:t>
            </w:r>
          </w:p>
        </w:tc>
      </w:tr>
      <w:tr w14:paraId="70AAE869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42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CDAD30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87635E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C92CDC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2E7C0B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C7F19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11C61F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B289C1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061996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E7A4FA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8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FAD32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9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19F612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0 </w:t>
            </w:r>
          </w:p>
        </w:tc>
      </w:tr>
      <w:tr w14:paraId="4510819C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80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DD7207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n</w:t>
            </w:r>
            <w:r>
              <w:rPr>
                <w:sz w:val="32"/>
                <w:szCs w:val="32"/>
              </w:rPr>
              <w:t>, Ом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B3544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4FA9C7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39CCF6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2</w:t>
            </w: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9536B7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01D3F7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36E72D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50221D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014A9F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EEB1D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98CAC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</w:tr>
      <w:tr w14:paraId="5AF4C4F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9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F9805B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Z</w:t>
            </w:r>
            <w:r>
              <w:rPr>
                <w:color w:val="000000"/>
                <w:sz w:val="32"/>
                <w:szCs w:val="32"/>
                <w:vertAlign w:val="subscript"/>
                <w:lang w:val="en-US"/>
              </w:rPr>
              <w:t>n</w:t>
            </w:r>
            <w:r>
              <w:rPr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, Ом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56F708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0,8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B7934C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1,4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E0E5E8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1,6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B0ED64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AA072D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E1B9AF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DFE0A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3,6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BADC4F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9DE5AB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D536E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6,3</w:t>
            </w:r>
          </w:p>
        </w:tc>
      </w:tr>
      <w:tr w14:paraId="1F158CF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9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870658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Z</w:t>
            </w:r>
            <w:r>
              <w:rPr>
                <w:color w:val="000000"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,Ом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E8D719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3F9D4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0,9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72F71D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0,9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6B595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17CE4C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1,2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F4333B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1,8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B82D26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2,1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84266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2,8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990760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8E8405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4,0</w:t>
            </w:r>
          </w:p>
        </w:tc>
      </w:tr>
      <w:tr w14:paraId="7C235CF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9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75A191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R</w:t>
            </w:r>
            <w:r>
              <w:rPr>
                <w:color w:val="000000"/>
                <w:sz w:val="32"/>
                <w:szCs w:val="32"/>
                <w:vertAlign w:val="subscript"/>
              </w:rPr>
              <w:t>ЗМ</w:t>
            </w:r>
            <w:r>
              <w:rPr>
                <w:color w:val="000000"/>
                <w:sz w:val="32"/>
                <w:szCs w:val="32"/>
              </w:rPr>
              <w:t>,</w:t>
            </w:r>
          </w:p>
          <w:p w14:paraId="737422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Ом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867E0F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4ABFE8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150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AF74C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879E56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75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5CD58A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F5570E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841A8C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4FC52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0C55E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C43E80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</w:tr>
      <w:tr w14:paraId="4227A25D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9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0CF344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l,м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963C19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E89541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448D3C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28E34B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1E6DC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9DFD4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7100C8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A04AF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73575A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B8F395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</w:tr>
      <w:tr w14:paraId="60EF87B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11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38D13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 xml:space="preserve">d </w:t>
            </w:r>
            <w:r>
              <w:rPr>
                <w:color w:val="000000"/>
                <w:sz w:val="32"/>
                <w:szCs w:val="32"/>
              </w:rPr>
              <w:t>, 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89C2A2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0,03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D9E655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29C421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4619C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0,03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715AC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AEEF3"/>
          </w:tcPr>
          <w:p w14:paraId="7DD3F3A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CDF59F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0,03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DAEEF3"/>
          </w:tcPr>
          <w:p w14:paraId="0F6FBEF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71E8B7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0,07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F1A10F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0,03</w:t>
            </w:r>
          </w:p>
        </w:tc>
      </w:tr>
      <w:tr w14:paraId="1454FE5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8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5CB7B0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t</w:t>
            </w:r>
            <w:r>
              <w:rPr>
                <w:color w:val="000000"/>
                <w:sz w:val="32"/>
                <w:szCs w:val="32"/>
              </w:rPr>
              <w:t>, 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FEAA0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59E169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CD6166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053A88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DAEEF3"/>
          </w:tcPr>
          <w:p w14:paraId="4F611A5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 w14:paraId="175D98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A71A37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C18DB5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23A82D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DAEEF3"/>
          </w:tcPr>
          <w:p w14:paraId="7FDA89B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2,5 </w:t>
            </w:r>
          </w:p>
        </w:tc>
      </w:tr>
      <w:tr w14:paraId="6217096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98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1D8653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color w:val="000000"/>
                <w:sz w:val="32"/>
                <w:szCs w:val="32"/>
              </w:rPr>
              <w:t>η</w:t>
            </w:r>
            <w:r>
              <w:rPr>
                <w:color w:val="000000"/>
                <w:sz w:val="32"/>
                <w:szCs w:val="32"/>
                <w:vertAlign w:val="subscript"/>
              </w:rPr>
              <w:t>з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33D2ED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0,65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645796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0,67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AEEF3"/>
          </w:tcPr>
          <w:p w14:paraId="2ADEB0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0,69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 w14:paraId="101D4D9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0,71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ED9317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0,73</w:t>
            </w:r>
          </w:p>
        </w:tc>
        <w:tc>
          <w:tcPr>
            <w:tcW w:w="7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AEEF3"/>
          </w:tcPr>
          <w:p w14:paraId="2F76D5C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0,75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88215C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0,77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9C625C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0,79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1A309E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0,81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27FA75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0,83</w:t>
            </w:r>
          </w:p>
        </w:tc>
      </w:tr>
    </w:tbl>
    <w:p w14:paraId="40F77210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32"/>
          <w:szCs w:val="32"/>
        </w:rPr>
      </w:pPr>
    </w:p>
    <w:p w14:paraId="7929D726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Для всех вариантов </w:t>
      </w:r>
      <w:r>
        <w:rPr>
          <w:b/>
          <w:color w:val="000000"/>
          <w:sz w:val="32"/>
          <w:szCs w:val="32"/>
          <w:lang w:val="en-US"/>
        </w:rPr>
        <w:t>U</w:t>
      </w:r>
      <w:r>
        <w:rPr>
          <w:b/>
          <w:color w:val="000000"/>
          <w:sz w:val="32"/>
          <w:szCs w:val="32"/>
          <w:vertAlign w:val="subscript"/>
        </w:rPr>
        <w:t>Ф</w:t>
      </w:r>
      <w:r>
        <w:rPr>
          <w:b/>
          <w:color w:val="000000"/>
          <w:sz w:val="32"/>
          <w:szCs w:val="32"/>
        </w:rPr>
        <w:t xml:space="preserve"> = 220 В</w:t>
      </w:r>
      <w:r>
        <w:rPr>
          <w:color w:val="000000"/>
          <w:sz w:val="32"/>
          <w:szCs w:val="32"/>
        </w:rPr>
        <w:t>.</w:t>
      </w:r>
    </w:p>
    <w:p w14:paraId="624DF3F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Методика решения</w:t>
      </w:r>
    </w:p>
    <w:p w14:paraId="4FD6739E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. Перечертить схему трехфазной, четырехпроводной сети с заземленной нейтралью и подключенным оборудованием (схема приводится в соответствующей лекции).</w:t>
      </w:r>
    </w:p>
    <w:p w14:paraId="630741FE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611495" cy="3429000"/>
            <wp:effectExtent l="0" t="0" r="12065" b="0"/>
            <wp:docPr id="176" name="Рисунок 176" descr="О глухозаземленной нейтрали: определение изолированного глухого зазем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Рисунок 176" descr="О глухозаземленной нейтрали: определение изолированного глухого заземл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059" cy="34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592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Рисунок 12.1. Трехфазная, четырехпроводная сеть с заземленной нейтралью</w:t>
      </w:r>
    </w:p>
    <w:p w14:paraId="40D6FB9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</w:p>
    <w:p w14:paraId="5980A44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II</w:t>
      </w:r>
      <w:r>
        <w:rPr>
          <w:sz w:val="32"/>
          <w:szCs w:val="32"/>
        </w:rPr>
        <w:t xml:space="preserve">. Током короткого замыкания называют ток, возникающий при сопротивлении нагрузки раной нулю, но в технике безопасности (ТБ) </w:t>
      </w:r>
      <w:r>
        <w:rPr>
          <w:position w:val="-28"/>
          <w:sz w:val="32"/>
          <w:szCs w:val="32"/>
        </w:rPr>
        <w:object>
          <v:shape id="_x0000_i1025" o:spt="75" type="#_x0000_t75" style="height:25.2pt;width:29.4pt;" o:ole="t" fillcolor="#FFFFFF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sz w:val="32"/>
          <w:szCs w:val="32"/>
        </w:rPr>
        <w:t>-</w:t>
      </w:r>
      <w:r>
        <w:rPr>
          <w:sz w:val="32"/>
          <w:szCs w:val="32"/>
          <w:lang w:val="uz-Cyrl-UZ"/>
        </w:rPr>
        <w:t xml:space="preserve"> </w:t>
      </w:r>
      <w:r>
        <w:rPr>
          <w:sz w:val="32"/>
          <w:szCs w:val="32"/>
        </w:rPr>
        <w:t>ток короткого замыкания</w:t>
      </w:r>
      <w:r>
        <w:rPr>
          <w:sz w:val="32"/>
          <w:szCs w:val="32"/>
          <w:lang w:val="uz-Cyrl-UZ"/>
        </w:rPr>
        <w:t>, о</w:t>
      </w:r>
      <w:r>
        <w:rPr>
          <w:sz w:val="32"/>
          <w:szCs w:val="32"/>
        </w:rPr>
        <w:t>предел</w:t>
      </w:r>
      <w:r>
        <w:rPr>
          <w:sz w:val="32"/>
          <w:szCs w:val="32"/>
          <w:lang w:val="uz-Cyrl-UZ"/>
        </w:rPr>
        <w:t>яется по</w:t>
      </w:r>
      <w:r>
        <w:rPr>
          <w:sz w:val="32"/>
          <w:szCs w:val="32"/>
        </w:rPr>
        <w:t xml:space="preserve"> формуле. </w:t>
      </w:r>
    </w:p>
    <w:p w14:paraId="4057793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28"/>
          <w:sz w:val="32"/>
          <w:szCs w:val="32"/>
        </w:rPr>
        <w:object>
          <v:shape id="_x0000_i1026" o:spt="75" type="#_x0000_t75" style="height:24pt;width:85.8pt;" o:ole="t" fillcolor="#FFFFFF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color w:val="000000"/>
          <w:sz w:val="32"/>
          <w:szCs w:val="32"/>
        </w:rPr>
        <w:t xml:space="preserve"> (12.1.)</w:t>
      </w:r>
    </w:p>
    <w:p w14:paraId="1E30E680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 xml:space="preserve">н </w:t>
      </w:r>
      <w:r>
        <w:rPr>
          <w:sz w:val="32"/>
          <w:szCs w:val="32"/>
        </w:rPr>
        <w:t xml:space="preserve">- ток плавкой вставки (проверить для следующих значений тока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 xml:space="preserve">н </w:t>
      </w:r>
      <w:r>
        <w:rPr>
          <w:sz w:val="32"/>
          <w:szCs w:val="32"/>
        </w:rPr>
        <w:t>= 20, 30, 50, 100 А).</w:t>
      </w:r>
    </w:p>
    <w:p w14:paraId="5D284141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III</w:t>
      </w:r>
      <w:r>
        <w:rPr>
          <w:sz w:val="32"/>
          <w:szCs w:val="32"/>
        </w:rPr>
        <w:t>. Определить напряжение на корпусе оборудования при замыкании фазы на корпус:</w:t>
      </w:r>
    </w:p>
    <w:p w14:paraId="287A77A0">
      <w:pPr>
        <w:pStyle w:val="7"/>
        <w:spacing w:after="0" w:line="360" w:lineRule="auto"/>
        <w:ind w:left="0" w:firstLine="708"/>
        <w:jc w:val="both"/>
        <w:rPr>
          <w:sz w:val="32"/>
          <w:szCs w:val="32"/>
        </w:rPr>
      </w:pPr>
      <w:r>
        <w:rPr>
          <w:sz w:val="32"/>
          <w:szCs w:val="32"/>
        </w:rPr>
        <w:t>а) напряжение корпуса относительно земли без повторного заземления;</w:t>
      </w:r>
    </w:p>
    <w:p w14:paraId="14D7CAD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б) с повторным заземлением нулевого провода.</w:t>
      </w:r>
    </w:p>
    <w:p w14:paraId="069B7729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>
        <w:rPr>
          <w:sz w:val="32"/>
          <w:szCs w:val="32"/>
        </w:rPr>
        <w:t>. Определить потенциал корпусов при замыкании фазы на корпус и обрыве нулевого провода (до и после места обрыва).</w:t>
      </w:r>
    </w:p>
    <w:p w14:paraId="01B70E28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. Определить ток, проходящий через тело человека, касающегося оборудования при замыкании фазы на корпус:</w:t>
      </w:r>
    </w:p>
    <w:p w14:paraId="51EFEB4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а) без повторного заземления нулевого провода;</w:t>
      </w:r>
    </w:p>
    <w:p w14:paraId="7EE7EB5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б) с повторным заземлением нулевого провода.</w:t>
      </w:r>
    </w:p>
    <w:p w14:paraId="7BE23D1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VI</w:t>
      </w:r>
      <w:r>
        <w:rPr>
          <w:color w:val="000000"/>
          <w:sz w:val="32"/>
          <w:szCs w:val="32"/>
        </w:rPr>
        <w:t>. Определить напряжение прикосновения на корпус установки при замыкании одной из фаз на землю</w:t>
      </w:r>
      <w:r>
        <w:rPr>
          <w:sz w:val="32"/>
          <w:szCs w:val="32"/>
          <w:lang w:val="uz-Cyrl-UZ"/>
        </w:rPr>
        <w:t>.</w:t>
      </w:r>
    </w:p>
    <w:p w14:paraId="439AA9E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VII</w:t>
      </w:r>
      <w:r>
        <w:rPr>
          <w:color w:val="000000"/>
          <w:sz w:val="32"/>
          <w:szCs w:val="32"/>
        </w:rPr>
        <w:t xml:space="preserve">. Рассчитать заземляющее устройство, состоящее из индивидуальных заземлителей, так, чтобы </w:t>
      </w:r>
      <w:r>
        <w:rPr>
          <w:color w:val="000000"/>
          <w:sz w:val="32"/>
          <w:szCs w:val="32"/>
          <w:lang w:val="en-US"/>
        </w:rPr>
        <w:t>R</w:t>
      </w:r>
      <w:r>
        <w:rPr>
          <w:color w:val="000000"/>
          <w:sz w:val="32"/>
          <w:szCs w:val="32"/>
          <w:vertAlign w:val="subscript"/>
        </w:rPr>
        <w:t>з</w:t>
      </w:r>
      <w:r>
        <w:rPr>
          <w:color w:val="000000"/>
          <w:sz w:val="32"/>
          <w:szCs w:val="32"/>
        </w:rPr>
        <w:t xml:space="preserve"> не превышало 4 Ом</w:t>
      </w:r>
      <w:r>
        <w:rPr>
          <w:sz w:val="32"/>
          <w:szCs w:val="32"/>
          <w:lang w:val="uz-Cyrl-UZ"/>
        </w:rPr>
        <w:t>.</w:t>
      </w:r>
    </w:p>
    <w:p w14:paraId="3778040B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При занулении корпуса электрооборудования соединяются нулевым проводом. Зануление превращает замыкание на корпус в однофазное короткое замыкание, в результате чего срабатывает максимальная токовая защита и селективно отключается поврежденный участок сети. Зануление снижает потенциалы корпусов, появляющиеся в момент замыкания на корпус или землю.</w:t>
      </w:r>
    </w:p>
    <w:p w14:paraId="359607CD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9155" cy="1974850"/>
            <wp:effectExtent l="0" t="0" r="4445" b="6350"/>
            <wp:docPr id="177" name="Рисунок 177" descr="https://encom74.ru/wp-content/uploads/d/6/0/d605ba45113baa45713a065347a856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Рисунок 177" descr="https://encom74.ru/wp-content/uploads/d/6/0/d605ba45113baa45713a065347a8565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60" b="320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812E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12.2. Защитное заземление и зануление</w:t>
      </w:r>
    </w:p>
    <w:p w14:paraId="4FE3836A">
      <w:pPr>
        <w:pStyle w:val="6"/>
        <w:spacing w:line="360" w:lineRule="auto"/>
        <w:rPr>
          <w:rFonts w:ascii="Arial" w:hAnsi="Arial"/>
          <w:sz w:val="32"/>
          <w:szCs w:val="32"/>
        </w:rPr>
      </w:pPr>
    </w:p>
    <w:p w14:paraId="6E4E8992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При замыкании фазы на зануленный корпус ток короткого замыкания протекает по петле фаза-нуль.</w:t>
      </w:r>
    </w:p>
    <w:p w14:paraId="601A6809">
      <w:pPr>
        <w:pStyle w:val="6"/>
        <w:spacing w:line="360" w:lineRule="auto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При решении задачи используются следующие формулы:</w:t>
      </w:r>
    </w:p>
    <w:p w14:paraId="29F699C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 Величина 1</w:t>
      </w:r>
      <w:r>
        <w:rPr>
          <w:color w:val="000000"/>
          <w:sz w:val="32"/>
          <w:szCs w:val="32"/>
          <w:vertAlign w:val="subscript"/>
        </w:rPr>
        <w:t>К.3.</w:t>
      </w:r>
      <w:r>
        <w:rPr>
          <w:color w:val="000000"/>
          <w:sz w:val="32"/>
          <w:szCs w:val="32"/>
        </w:rPr>
        <w:t xml:space="preserve"> тока короткого замыкания определяется по формуле:</w:t>
      </w:r>
    </w:p>
    <w:p w14:paraId="73F58CBC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rFonts w:ascii="Arial" w:hAnsi="Arial"/>
          <w:position w:val="-36"/>
          <w:sz w:val="32"/>
          <w:szCs w:val="32"/>
        </w:rPr>
        <w:object>
          <v:shape id="_x0000_i1027" o:spt="75" type="#_x0000_t75" style="height:26.4pt;width:132.6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ascii="Arial" w:hAnsi="Arial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(12.2.)</w:t>
      </w:r>
    </w:p>
    <w:p w14:paraId="057EB9A8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color w:val="000000"/>
          <w:sz w:val="32"/>
          <w:szCs w:val="32"/>
          <w:lang w:val="en-US"/>
        </w:rPr>
        <w:t>Z</w:t>
      </w:r>
      <w:r>
        <w:rPr>
          <w:color w:val="000000"/>
          <w:sz w:val="32"/>
          <w:szCs w:val="32"/>
          <w:vertAlign w:val="subscript"/>
          <w:lang w:val="en-US"/>
        </w:rPr>
        <w:t>n</w:t>
      </w:r>
      <w:r>
        <w:rPr>
          <w:color w:val="000000"/>
          <w:sz w:val="32"/>
          <w:szCs w:val="32"/>
        </w:rPr>
        <w:t xml:space="preserve"> - сопротивление петли фаза-нуль, учитывающее величину сопротивления вторичных обмоток трансформатора, фазного провода, нулевого провода, Ом;</w:t>
      </w:r>
    </w:p>
    <w:p w14:paraId="5429812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U</w:t>
      </w:r>
      <w:r>
        <w:rPr>
          <w:color w:val="000000"/>
          <w:sz w:val="32"/>
          <w:szCs w:val="32"/>
          <w:vertAlign w:val="subscript"/>
        </w:rPr>
        <w:t>ф</w:t>
      </w:r>
      <w:r>
        <w:rPr>
          <w:color w:val="000000"/>
          <w:sz w:val="32"/>
          <w:szCs w:val="32"/>
        </w:rPr>
        <w:t xml:space="preserve"> - 220 фазное напряжение, В.</w:t>
      </w:r>
    </w:p>
    <w:p w14:paraId="65F97AC2">
      <w:pPr>
        <w:pStyle w:val="7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 Напряжение корпуса относительно земли без повторного заземления</w:t>
      </w:r>
    </w:p>
    <w:p w14:paraId="1A90C86D">
      <w:pPr>
        <w:pStyle w:val="7"/>
        <w:spacing w:line="360" w:lineRule="auto"/>
        <w:jc w:val="center"/>
        <w:rPr>
          <w:rFonts w:ascii="Arial" w:hAnsi="Arial"/>
          <w:sz w:val="32"/>
          <w:szCs w:val="32"/>
        </w:rPr>
      </w:pPr>
      <w:r>
        <w:rPr>
          <w:position w:val="-28"/>
          <w:sz w:val="32"/>
          <w:szCs w:val="32"/>
        </w:rPr>
        <w:object>
          <v:shape id="_x0000_i1028" o:spt="75" type="#_x0000_t75" style="height:25.2pt;width:120.6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sz w:val="32"/>
          <w:szCs w:val="32"/>
        </w:rPr>
        <w:t xml:space="preserve">[В].    </w:t>
      </w:r>
      <w:r>
        <w:rPr>
          <w:color w:val="000000"/>
          <w:sz w:val="32"/>
          <w:szCs w:val="32"/>
        </w:rPr>
        <w:t>(12.3.)</w:t>
      </w:r>
    </w:p>
    <w:p w14:paraId="1C2A9DE1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smallCaps/>
          <w:color w:val="000000"/>
          <w:sz w:val="32"/>
          <w:szCs w:val="32"/>
          <w:lang w:val="en-US"/>
        </w:rPr>
        <w:t>Z</w:t>
      </w:r>
      <w:r>
        <w:rPr>
          <w:smallCaps/>
          <w:color w:val="000000"/>
          <w:sz w:val="32"/>
          <w:szCs w:val="32"/>
          <w:vertAlign w:val="subscript"/>
          <w:lang w:val="en-US"/>
        </w:rPr>
        <w:t>h</w:t>
      </w:r>
      <w:r>
        <w:rPr>
          <w:i/>
          <w:color w:val="000000"/>
          <w:sz w:val="32"/>
          <w:szCs w:val="32"/>
        </w:rPr>
        <w:t xml:space="preserve"> - </w:t>
      </w:r>
      <w:r>
        <w:rPr>
          <w:color w:val="000000"/>
          <w:sz w:val="32"/>
          <w:szCs w:val="32"/>
        </w:rPr>
        <w:t>сопротивление нулевого провода, Ом.</w:t>
      </w:r>
    </w:p>
    <w:p w14:paraId="5315A775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3. Напряжение корпуса относительно земли с повторным заземлением нулевого провода</w:t>
      </w:r>
    </w:p>
    <w:p w14:paraId="4AD81CF9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position w:val="-28"/>
          <w:sz w:val="32"/>
          <w:szCs w:val="32"/>
        </w:rPr>
        <w:object>
          <v:shape id="_x0000_i1029" o:spt="75" type="#_x0000_t75" style="height:24.6pt;width:216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sz w:val="32"/>
          <w:szCs w:val="32"/>
        </w:rPr>
        <w:t>,    (12.4.)</w:t>
      </w:r>
    </w:p>
    <w:p w14:paraId="022F9521">
      <w:pPr>
        <w:pStyle w:val="6"/>
        <w:spacing w:line="360" w:lineRule="auto"/>
        <w:ind w:firstLine="709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 - соответственно сопротивление заземления нейтрали и повторного заземления нулевого провода, причем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</w:rPr>
        <w:t xml:space="preserve"> = 4 Ом.</w:t>
      </w:r>
    </w:p>
    <w:p w14:paraId="60806A2A">
      <w:pPr>
        <w:pStyle w:val="6"/>
        <w:spacing w:line="360" w:lineRule="auto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Повторное заземление нулевого провода снижает напряжение на корпусе в момент короткого замыкания, особенно при обрыве нулевого провода.</w:t>
      </w:r>
    </w:p>
    <w:p w14:paraId="296879EC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4. При обрыве нулевого провода и замыкании на корпус за местом обрыва напряжения корпусов относительно земли: </w:t>
      </w:r>
    </w:p>
    <w:p w14:paraId="5B925F9E">
      <w:pPr>
        <w:pStyle w:val="5"/>
        <w:spacing w:line="360" w:lineRule="auto"/>
        <w:ind w:firstLine="708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без повторного заземления нулевого провода для:</w:t>
      </w:r>
    </w:p>
    <w:p w14:paraId="6567F146">
      <w:pPr>
        <w:pStyle w:val="5"/>
        <w:spacing w:line="36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t>а) корпусов, подключённых к нулевому проводу за местом обрыва</w:t>
      </w:r>
    </w:p>
    <w:p w14:paraId="6B11A85F">
      <w:pPr>
        <w:pStyle w:val="5"/>
        <w:spacing w:line="360" w:lineRule="auto"/>
        <w:jc w:val="center"/>
        <w:rPr>
          <w:sz w:val="32"/>
          <w:szCs w:val="32"/>
        </w:rPr>
      </w:pPr>
      <w:r>
        <w:rPr>
          <w:position w:val="-36"/>
          <w:sz w:val="32"/>
          <w:szCs w:val="32"/>
          <w:lang w:val="en-US"/>
        </w:rPr>
        <w:object>
          <v:shape id="_x0000_i1030" o:spt="75" type="#_x0000_t75" style="height:26.4pt;width:86.4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(12.5.)</w:t>
      </w:r>
    </w:p>
    <w:p w14:paraId="10EF3E88">
      <w:pPr>
        <w:pStyle w:val="6"/>
        <w:spacing w:line="360" w:lineRule="auto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б) корпусов, подключённых к нулевому проводу перед местом обрыва</w:t>
      </w:r>
    </w:p>
    <w:p w14:paraId="3287E256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U</w:t>
      </w:r>
      <w:r>
        <w:rPr>
          <w:color w:val="000000"/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 xml:space="preserve"> = 0    (12.6.)</w:t>
      </w:r>
    </w:p>
    <w:p w14:paraId="79A695D0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 повторным заземлением нулевого провода для: </w:t>
      </w:r>
    </w:p>
    <w:p w14:paraId="245ED759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в) корпусов, подключённых к нулевому проводу за местом обрыва</w:t>
      </w:r>
    </w:p>
    <w:p w14:paraId="072D2893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position w:val="-54"/>
          <w:sz w:val="32"/>
          <w:szCs w:val="32"/>
        </w:rPr>
        <w:object>
          <v:shape id="_x0000_i1031" o:spt="75" type="#_x0000_t75" style="height:41.4pt;width:131.4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position w:val="-12"/>
          <w:sz w:val="32"/>
          <w:szCs w:val="32"/>
          <w:lang w:val="en-US"/>
        </w:rPr>
        <w:object>
          <v:shape id="_x0000_i1032" o:spt="75" type="#_x0000_t75" style="height:21.6pt;width:24.6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sz w:val="32"/>
          <w:szCs w:val="32"/>
        </w:rPr>
        <w:t xml:space="preserve">    (12.7.)</w:t>
      </w:r>
    </w:p>
    <w:p w14:paraId="10E4DC96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г) корпусов, подключённых к нулевому проводу перед местом обрыва</w:t>
      </w:r>
    </w:p>
    <w:p w14:paraId="653AF22F">
      <w:pPr>
        <w:pStyle w:val="6"/>
        <w:spacing w:line="360" w:lineRule="auto"/>
        <w:ind w:firstLine="0"/>
        <w:jc w:val="center"/>
        <w:rPr>
          <w:rFonts w:ascii="Arial" w:hAnsi="Arial"/>
          <w:sz w:val="32"/>
          <w:szCs w:val="32"/>
        </w:rPr>
      </w:pPr>
      <w:r>
        <w:rPr>
          <w:position w:val="-54"/>
          <w:sz w:val="32"/>
          <w:szCs w:val="32"/>
        </w:rPr>
        <w:object>
          <v:shape id="_x0000_i1033" o:spt="75" type="#_x0000_t75" style="height:47.4pt;width:132.6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sz w:val="32"/>
          <w:szCs w:val="32"/>
        </w:rPr>
        <w:t xml:space="preserve"> </w:t>
      </w:r>
      <w:r>
        <w:rPr>
          <w:position w:val="-12"/>
          <w:sz w:val="32"/>
          <w:szCs w:val="32"/>
          <w:lang w:val="en-US"/>
        </w:rPr>
        <w:object>
          <v:shape id="_x0000_i1034" o:spt="75" type="#_x0000_t75" style="height:21.6pt;width:24.6pt;" o:ole="t" fillcolor="#FFFFFF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sz w:val="32"/>
          <w:szCs w:val="32"/>
        </w:rPr>
        <w:t xml:space="preserve">    (12.8.)</w:t>
      </w:r>
    </w:p>
    <w:p w14:paraId="375AB49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5. Ток через тело человека в указных случаях будет определиться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следующим образом:</w:t>
      </w:r>
      <w:r>
        <w:rPr>
          <w:rFonts w:ascii="Arial"/>
          <w:color w:val="000000"/>
          <w:sz w:val="32"/>
          <w:szCs w:val="32"/>
        </w:rPr>
        <w:t xml:space="preserve"> </w:t>
      </w:r>
    </w:p>
    <w:p w14:paraId="3CA8B77C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46"/>
          <w:sz w:val="32"/>
          <w:szCs w:val="32"/>
        </w:rPr>
        <w:object>
          <v:shape id="_x0000_i1035" o:spt="75" type="#_x0000_t75" style="height:50.4pt;width:94.8pt;" o:ole="t" fillcolor="#FFFFFF" filled="f" o:preferrelative="t" stroked="f" coordsize="21600,21600">
            <v:path/>
            <v:fill on="f" focussize="0,0"/>
            <v:stroke on="f" joinstyle="miter"/>
            <v:imagedata r:id="rId29" cropright="19490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(12.9.)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position w:val="-18"/>
          <w:sz w:val="32"/>
          <w:szCs w:val="32"/>
          <w:lang w:val="en-US"/>
        </w:rPr>
        <w:object>
          <v:shape id="_x0000_i1036" o:spt="75" type="#_x0000_t75" style="height:23.4pt;width:54.6pt;" o:ole="t" fillcolor="#FFFFFF" filled="f" o:preferrelative="t" stroked="f" coordsize="21600,21600">
            <v:path/>
            <v:fill on="f" focussize="0,0"/>
            <v:stroke on="f" joinstyle="miter"/>
            <v:imagedata r:id="rId31" cropright="31208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color w:val="000000"/>
          <w:sz w:val="32"/>
          <w:szCs w:val="32"/>
        </w:rPr>
        <w:t xml:space="preserve">    (12.10.)</w:t>
      </w:r>
    </w:p>
    <w:p w14:paraId="6126BBD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54"/>
          <w:sz w:val="32"/>
          <w:szCs w:val="32"/>
          <w:lang w:val="en-US"/>
        </w:rPr>
        <w:object>
          <v:shape id="_x0000_i1037" o:spt="75" type="#_x0000_t75" style="height:56.4pt;width:94.2pt;" o:ole="t" fillcolor="#FFFFFF" filled="f" o:preferrelative="t" stroked="f" coordsize="21600,21600">
            <v:path/>
            <v:fill on="f" focussize="0,0"/>
            <v:stroke on="f" joinstyle="miter"/>
            <v:imagedata r:id="rId33" cropright="22075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2">
            <o:LockedField>false</o:LockedField>
          </o:OLEObject>
        </w:objec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(12.11.)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position w:val="-46"/>
          <w:sz w:val="32"/>
          <w:szCs w:val="32"/>
          <w:lang w:val="en-US"/>
        </w:rPr>
        <w:object>
          <v:shape id="_x0000_i1038" o:spt="75" type="#_x0000_t75" style="height:51.6pt;width:94.2pt;" o:ole="t" fillcolor="#FFFFFF" filled="f" o:preferrelative="t" stroked="f" coordsize="21600,21600">
            <v:path/>
            <v:fill on="f" focussize="0,0"/>
            <v:stroke on="f" joinstyle="miter"/>
            <v:imagedata r:id="rId35" cropright="22305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4">
            <o:LockedField>false</o:LockedField>
          </o:OLEObject>
        </w:object>
      </w:r>
      <w:r>
        <w:rPr>
          <w:color w:val="000000"/>
          <w:sz w:val="32"/>
          <w:szCs w:val="32"/>
        </w:rPr>
        <w:t xml:space="preserve">   (12.12.)</w:t>
      </w:r>
    </w:p>
    <w:p w14:paraId="44F11D29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i/>
          <w:color w:val="000000"/>
          <w:sz w:val="32"/>
          <w:szCs w:val="32"/>
          <w:lang w:val="en-US"/>
        </w:rPr>
        <w:t>R</w:t>
      </w:r>
      <w:r>
        <w:rPr>
          <w:i/>
          <w:color w:val="000000"/>
          <w:sz w:val="32"/>
          <w:szCs w:val="32"/>
          <w:vertAlign w:val="subscript"/>
          <w:lang w:val="en-US"/>
        </w:rPr>
        <w:t>h</w:t>
      </w:r>
      <w:r>
        <w:rPr>
          <w:i/>
          <w:color w:val="000000"/>
          <w:sz w:val="32"/>
          <w:szCs w:val="32"/>
        </w:rPr>
        <w:t xml:space="preserve"> - </w:t>
      </w:r>
      <w:r>
        <w:rPr>
          <w:color w:val="000000"/>
          <w:sz w:val="32"/>
          <w:szCs w:val="32"/>
        </w:rPr>
        <w:t>сопротивление тела человека (обычно принимают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32"/>
          <w:szCs w:val="32"/>
          <w:lang w:val="en-US"/>
        </w:rPr>
        <w:t>R</w:t>
      </w:r>
      <w:r>
        <w:rPr>
          <w:i/>
          <w:color w:val="000000"/>
          <w:sz w:val="32"/>
          <w:szCs w:val="32"/>
          <w:vertAlign w:val="subscript"/>
          <w:lang w:val="en-US"/>
        </w:rPr>
        <w:t>h</w:t>
      </w:r>
      <w:r>
        <w:rPr>
          <w:color w:val="000000"/>
          <w:sz w:val="32"/>
          <w:szCs w:val="32"/>
        </w:rPr>
        <w:t xml:space="preserve"> = 1000 Ом).</w:t>
      </w:r>
    </w:p>
    <w:p w14:paraId="48B1BE99">
      <w:pPr>
        <w:pStyle w:val="6"/>
        <w:spacing w:line="360" w:lineRule="auto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6. Напряжение на корпусе занулённого оборудования при случайном замыкании фазы на землю (без повторного заземления нулевого провода)</w:t>
      </w:r>
    </w:p>
    <w:p w14:paraId="54EE636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position w:val="-46"/>
          <w:sz w:val="32"/>
          <w:szCs w:val="32"/>
        </w:rPr>
        <w:object>
          <v:shape id="_x0000_i1039" o:spt="75" type="#_x0000_t75" style="height:44.4pt;width:102.6pt;" o:ole="t" fillcolor="#FFFFFF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6">
            <o:LockedField>false</o:LockedField>
          </o:OLEObject>
        </w:object>
      </w:r>
      <w:r>
        <w:rPr>
          <w:position w:val="-12"/>
          <w:sz w:val="32"/>
          <w:szCs w:val="32"/>
          <w:lang w:val="en-US"/>
        </w:rPr>
        <w:object>
          <v:shape id="_x0000_i1040" o:spt="75" type="#_x0000_t75" style="height:21.6pt;width:24.6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  <w:r>
        <w:rPr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(12.13.)</w:t>
      </w:r>
    </w:p>
    <w:p w14:paraId="22822A4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Arial" w:hAnsi="Arial"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 xml:space="preserve">где </w:t>
      </w:r>
      <w:r>
        <w:rPr>
          <w:smallCaps/>
          <w:color w:val="000000"/>
          <w:sz w:val="32"/>
          <w:szCs w:val="32"/>
          <w:lang w:val="en-US"/>
        </w:rPr>
        <w:t>R</w:t>
      </w:r>
      <w:r>
        <w:rPr>
          <w:smallCaps/>
          <w:color w:val="000000"/>
          <w:sz w:val="32"/>
          <w:szCs w:val="32"/>
          <w:vertAlign w:val="subscript"/>
        </w:rPr>
        <w:t>зм</w:t>
      </w:r>
      <w:r>
        <w:rPr>
          <w:i/>
          <w:color w:val="000000"/>
          <w:sz w:val="32"/>
          <w:szCs w:val="32"/>
        </w:rPr>
        <w:t xml:space="preserve"> - </w:t>
      </w:r>
      <w:r>
        <w:rPr>
          <w:color w:val="000000"/>
          <w:sz w:val="32"/>
          <w:szCs w:val="32"/>
        </w:rPr>
        <w:t>сопротивление в месте замыкания на землю фазового провода.</w:t>
      </w:r>
    </w:p>
    <w:p w14:paraId="74D09A8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rFonts w:hAnsi="Arial"/>
          <w:color w:val="000000"/>
          <w:sz w:val="32"/>
          <w:szCs w:val="32"/>
        </w:rPr>
        <w:t xml:space="preserve">7. </w:t>
      </w:r>
      <w:r>
        <w:rPr>
          <w:color w:val="000000"/>
          <w:sz w:val="32"/>
          <w:szCs w:val="32"/>
        </w:rPr>
        <w:t xml:space="preserve">Сопротивление одиночного заземлителя, забитого в землю на глубину </w:t>
      </w:r>
      <w:r>
        <w:rPr>
          <w:color w:val="000000"/>
          <w:sz w:val="32"/>
          <w:szCs w:val="32"/>
          <w:lang w:val="en-US"/>
        </w:rPr>
        <w:t>t</w:t>
      </w:r>
      <w:r>
        <w:rPr>
          <w:color w:val="000000"/>
          <w:sz w:val="32"/>
          <w:szCs w:val="32"/>
        </w:rPr>
        <w:t>, определяется по формуле:</w:t>
      </w:r>
    </w:p>
    <w:p w14:paraId="25485AA0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position w:val="-36"/>
          <w:sz w:val="32"/>
          <w:szCs w:val="32"/>
        </w:rPr>
        <w:object>
          <v:shape id="_x0000_i1041" o:spt="75" type="#_x0000_t75" style="height:34.2pt;width:252.6pt;" o:ole="t" fillcolor="#FFFFFF" filled="f" o:preferrelative="t" stroked="f" coordsize="21600,21600">
            <v:path/>
            <v:fill on="f" focussize="0,0"/>
            <v:stroke on="f" joinstyle="miter"/>
            <v:imagedata r:id="rId41" cropright="10651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0">
            <o:LockedField>false</o:LockedField>
          </o:OLEObject>
        </w:object>
      </w:r>
      <w:r>
        <w:rPr>
          <w:rFonts w:ascii="Arial" w:hAnsi="Arial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(12.14.)</w:t>
      </w:r>
    </w:p>
    <w:p w14:paraId="15F8AC8D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i/>
          <w:color w:val="000000"/>
          <w:sz w:val="32"/>
          <w:szCs w:val="32"/>
        </w:rPr>
        <w:t xml:space="preserve">ρ - </w:t>
      </w:r>
      <w:r>
        <w:rPr>
          <w:color w:val="000000"/>
          <w:sz w:val="32"/>
          <w:szCs w:val="32"/>
        </w:rPr>
        <w:t>удельное сопротивления грунта, Ом·м (сопротивление образца грунта объёмом 1м</w:t>
      </w:r>
      <w:r>
        <w:rPr>
          <w:color w:val="000000"/>
          <w:sz w:val="32"/>
          <w:szCs w:val="32"/>
          <w:vertAlign w:val="superscript"/>
        </w:rPr>
        <w:t>3</w:t>
      </w:r>
      <w:r>
        <w:rPr>
          <w:color w:val="000000"/>
          <w:sz w:val="32"/>
          <w:szCs w:val="32"/>
        </w:rPr>
        <w:t>);</w:t>
      </w:r>
    </w:p>
    <w:p w14:paraId="3CD4FFD6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</w:rPr>
        <w:t xml:space="preserve"> - длина трубы, м;</w:t>
      </w:r>
    </w:p>
    <w:p w14:paraId="0E4B6C3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d</w:t>
      </w:r>
      <w:r>
        <w:rPr>
          <w:color w:val="000000"/>
          <w:sz w:val="32"/>
          <w:szCs w:val="32"/>
        </w:rPr>
        <w:t xml:space="preserve"> - диаметр трубы, м;</w:t>
      </w:r>
    </w:p>
    <w:p w14:paraId="7F307110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t</w:t>
      </w:r>
      <w:r>
        <w:rPr>
          <w:color w:val="000000"/>
          <w:sz w:val="32"/>
          <w:szCs w:val="32"/>
        </w:rPr>
        <w:t xml:space="preserve"> - расстояние от поверхности земли до середины трубы.</w:t>
      </w:r>
    </w:p>
    <w:p w14:paraId="2558AF3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Ariac" w:hAnsi="Ariac"/>
          <w:color w:val="000000"/>
          <w:sz w:val="32"/>
          <w:szCs w:val="32"/>
          <w:vertAlign w:val="subscript"/>
        </w:rPr>
      </w:pPr>
      <w:r>
        <w:rPr>
          <w:color w:val="000000"/>
          <w:sz w:val="32"/>
          <w:szCs w:val="32"/>
        </w:rPr>
        <w:t>Необходимое число заземлителей при коэффициенте экранирования η</w:t>
      </w:r>
      <w:r>
        <w:rPr>
          <w:rFonts w:ascii="Ariac" w:hAnsi="Ariac"/>
          <w:color w:val="000000"/>
          <w:sz w:val="32"/>
          <w:szCs w:val="32"/>
          <w:vertAlign w:val="subscript"/>
        </w:rPr>
        <w:t>з</w:t>
      </w:r>
    </w:p>
    <w:p w14:paraId="09373BF1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rFonts w:ascii="Ariac" w:hAnsi="Ariac"/>
          <w:color w:val="000000"/>
          <w:position w:val="-46"/>
          <w:sz w:val="32"/>
          <w:szCs w:val="32"/>
          <w:vertAlign w:val="subscript"/>
        </w:rPr>
        <w:object>
          <v:shape id="_x0000_i1042" o:spt="75" type="#_x0000_t75" style="height:39.6pt;width:113.4pt;" o:ole="t" fillcolor="#FFFFFF" filled="f" o:preferrelative="t" stroked="f" coordsize="21600,21600">
            <v:path/>
            <v:fill on="f" focussize="0,0"/>
            <v:stroke on="f" joinstyle="miter"/>
            <v:imagedata r:id="rId43" cropright="19046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2">
            <o:LockedField>false</o:LockedField>
          </o:OLEObject>
        </w:object>
      </w:r>
      <w:r>
        <w:rPr>
          <w:rFonts w:ascii="Ariac" w:hAnsi="Ariac"/>
          <w:color w:val="000000"/>
          <w:sz w:val="32"/>
          <w:szCs w:val="32"/>
          <w:vertAlign w:val="subscript"/>
        </w:rPr>
        <w:t xml:space="preserve">    </w:t>
      </w:r>
      <w:r>
        <w:rPr>
          <w:color w:val="000000"/>
          <w:sz w:val="32"/>
          <w:szCs w:val="32"/>
        </w:rPr>
        <w:t>(12.15.)</w:t>
      </w:r>
    </w:p>
    <w:p w14:paraId="61918839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</w:p>
    <w:p w14:paraId="287E3FC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color w:val="000000"/>
          <w:sz w:val="32"/>
          <w:szCs w:val="32"/>
          <w:lang w:val="en-US"/>
        </w:rPr>
        <w:t>R</w:t>
      </w:r>
      <w:r>
        <w:rPr>
          <w:color w:val="000000"/>
          <w:sz w:val="32"/>
          <w:szCs w:val="32"/>
          <w:vertAlign w:val="subscript"/>
        </w:rPr>
        <w:t>3</w:t>
      </w:r>
      <w:r>
        <w:rPr>
          <w:color w:val="000000"/>
          <w:sz w:val="32"/>
          <w:szCs w:val="32"/>
        </w:rPr>
        <w:t xml:space="preserve">=4 Ом - требуемое сопротивление заземляющего устройства. </w:t>
      </w:r>
    </w:p>
    <w:p w14:paraId="2121B2D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5939790" cy="2392045"/>
            <wp:effectExtent l="0" t="0" r="3810" b="635"/>
            <wp:docPr id="178" name="Рисунок 178" descr="https://encom74.ru/wp-content/uploads/c/0/2/c02ecc3d2f3793cff18873bfd8b966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Рисунок 178" descr="https://encom74.ru/wp-content/uploads/c/0/2/c02ecc3d2f3793cff18873bfd8b9667d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089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Рисунок 12.3. Виды соединений защитного заземления и зануления</w:t>
      </w:r>
    </w:p>
    <w:p w14:paraId="43C2ABCE">
      <w:pPr>
        <w:pBdr>
          <w:bottom w:val="single" w:color="4F81BD" w:sz="8" w:space="4"/>
        </w:pBdr>
        <w:autoSpaceDE w:val="0"/>
        <w:autoSpaceDN w:val="0"/>
        <w:spacing w:after="30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</w:p>
    <w:p w14:paraId="3DFC6708">
      <w:pPr>
        <w:pBdr>
          <w:bottom w:val="single" w:color="4F81BD" w:sz="8" w:space="4"/>
        </w:pBdr>
        <w:autoSpaceDE w:val="0"/>
        <w:autoSpaceDN w:val="0"/>
        <w:spacing w:after="30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Контрольные вопросы</w:t>
      </w:r>
    </w:p>
    <w:p w14:paraId="774EC7CD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1. Основные факторы, влияющие на поражение электрическим током человека.</w:t>
      </w:r>
    </w:p>
    <w:p w14:paraId="47F597DB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 Какие факторы влияют на сопротивление тела человека?</w:t>
      </w:r>
    </w:p>
    <w:p w14:paraId="6066BFA6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3. Какой характер воздействия имеет электрический ток на организм человека?</w:t>
      </w:r>
    </w:p>
    <w:p w14:paraId="61B7C783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4. Виды поражения электрическим током.</w:t>
      </w:r>
    </w:p>
    <w:p w14:paraId="4BDB0DDC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5. Что такое напряжение прикосновения? Меры защиты от напряжения прикосновения.</w:t>
      </w:r>
    </w:p>
    <w:p w14:paraId="33A97B0C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6. Какой величины ток считается опасным для жизни человека? </w:t>
      </w:r>
    </w:p>
    <w:p w14:paraId="3448E7B3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7. Двухполюсное прикосновение к различным сетям.</w:t>
      </w:r>
    </w:p>
    <w:p w14:paraId="59098A5E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8. С какой целью и как устанавливается защитное заземление оборудования, в каких сетях применяется?</w:t>
      </w:r>
    </w:p>
    <w:p w14:paraId="3A28DABB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9. Назначение повторного заземления нулевого провода (схемы, формулы).</w:t>
      </w:r>
    </w:p>
    <w:p w14:paraId="313D8AD0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10. Что называется шаговым напряжением? Меры защиты от шагового напряжения.</w:t>
      </w:r>
    </w:p>
    <w:p w14:paraId="173B944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³&lt;/FON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c">
    <w:altName w:val="Arial Narrow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B769C"/>
    <w:multiLevelType w:val="multilevel"/>
    <w:tmpl w:val="173B76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6D45F2F"/>
    <w:multiLevelType w:val="multilevel"/>
    <w:tmpl w:val="26D45F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18735E1"/>
    <w:multiLevelType w:val="multilevel"/>
    <w:tmpl w:val="618735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10A5819"/>
    <w:multiLevelType w:val="multilevel"/>
    <w:tmpl w:val="710A58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F05D6"/>
    <w:rsid w:val="5F1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qFormat="1" w:uiPriority="99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styleId="6">
    <w:name w:val="Body Text Indent"/>
    <w:basedOn w:val="1"/>
    <w:qFormat/>
    <w:uiPriority w:val="0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8"/>
    </w:rPr>
  </w:style>
  <w:style w:type="paragraph" w:styleId="7">
    <w:name w:val="Body Text Indent 2"/>
    <w:basedOn w:val="1"/>
    <w:semiHidden/>
    <w:unhideWhenUsed/>
    <w:qFormat/>
    <w:uiPriority w:val="99"/>
    <w:pPr>
      <w:spacing w:after="120" w:line="480" w:lineRule="auto"/>
      <w:ind w:left="28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21.jpeg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endnotes" Target="endnotes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footnotes" Target="footnote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jpe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2025-05-09T12:30:00Z</dcterms:created>
  <dc:creator>Asdian Katana</dc:creator>
  <cp:lastModifiedBy>Asdian Katana</cp:lastModifiedBy>
  <dcterms:modified xsi:type="dcterms:W3CDTF">2025-05-09T12:30:23Z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CA790DDBCB5B4D8A84C703A90D9A10C4_11</vt:lpwstr>
  </property>
</Properties>
</file>