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E55B5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Занятие № 13</w:t>
      </w:r>
    </w:p>
    <w:p w14:paraId="2B007B6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Пожарная безопасность</w:t>
      </w:r>
    </w:p>
    <w:p w14:paraId="2AA96E7F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Цель работы</w:t>
      </w:r>
    </w:p>
    <w:p w14:paraId="21DB9F6D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производственном корпусе имеется несколько помещений, в которых ведутся работы, имеющие различную пожарную безопасность. Необходимо определить процентную концентрацию </w:t>
      </w:r>
      <w:r>
        <w:rPr>
          <w:b/>
          <w:sz w:val="32"/>
          <w:szCs w:val="32"/>
        </w:rPr>
        <w:t>C</w:t>
      </w:r>
      <w:r>
        <w:rPr>
          <w:sz w:val="32"/>
          <w:szCs w:val="32"/>
        </w:rPr>
        <w:t xml:space="preserve"> паров ЛВЖ (легковоспламеняющиеся жидкости) в воздухе, рассчитать избыточное давление взрыва паровоздушной смеси </w:t>
      </w:r>
      <w:r>
        <w:rPr>
          <w:b/>
          <w:sz w:val="32"/>
          <w:szCs w:val="32"/>
        </w:rPr>
        <w:sym w:font="Symbol" w:char="F044"/>
      </w:r>
      <w:r>
        <w:rPr>
          <w:b/>
          <w:sz w:val="32"/>
          <w:szCs w:val="32"/>
          <w:lang w:val="en-US"/>
        </w:rPr>
        <w:t>V</w:t>
      </w:r>
      <w:r>
        <w:rPr>
          <w:sz w:val="32"/>
          <w:szCs w:val="32"/>
        </w:rPr>
        <w:t xml:space="preserve"> ЛВЖ, </w:t>
      </w:r>
      <w:r>
        <w:rPr>
          <w:b/>
          <w:sz w:val="32"/>
          <w:szCs w:val="32"/>
        </w:rPr>
        <w:t>W</w:t>
      </w:r>
      <w:r>
        <w:rPr>
          <w:sz w:val="32"/>
          <w:szCs w:val="32"/>
        </w:rPr>
        <w:t xml:space="preserve"> - интенсивность испарения ЛВЖ, </w:t>
      </w:r>
      <m:oMath>
        <m:f>
          <m:fPr>
            <m:type m:val="lin"/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/>
              <w:rPr>
                <w:rFonts w:ascii="Cambria Math" w:hAnsi="Cambria Math"/>
                <w:sz w:val="32"/>
                <w:szCs w:val="32"/>
              </w:rPr>
              <m:t>кг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м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up>
            </m:sSup>
            <m:r>
              <m:rPr/>
              <w:rPr>
                <w:rFonts w:ascii="Cambria Math" w:hAnsi="Cambria Math"/>
                <w:sz w:val="32"/>
                <w:szCs w:val="32"/>
              </w:rPr>
              <m:t>∙с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den>
        </m:f>
      </m:oMath>
      <w:r>
        <w:rPr>
          <w:sz w:val="32"/>
          <w:szCs w:val="32"/>
        </w:rPr>
        <w:t xml:space="preserve"> .</w:t>
      </w:r>
    </w:p>
    <w:p w14:paraId="7E798D95">
      <w:pPr>
        <w:pBdr>
          <w:bottom w:val="single" w:color="4F81BD" w:sz="8" w:space="4"/>
        </w:pBdr>
        <w:autoSpaceDE w:val="0"/>
        <w:autoSpaceDN w:val="0"/>
        <w:spacing w:after="300" w:line="360" w:lineRule="auto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Теоретическая часть</w:t>
      </w:r>
    </w:p>
    <w:p w14:paraId="32C79EE0">
      <w:pPr>
        <w:spacing w:line="360" w:lineRule="auto"/>
        <w:ind w:firstLine="720"/>
        <w:rPr>
          <w:rFonts w:ascii="symbol³&lt;/FONT" w:hAnsi="symbol³&lt;/FONT"/>
          <w:b/>
          <w:bCs/>
          <w:color w:val="000000"/>
          <w:sz w:val="32"/>
          <w:szCs w:val="32"/>
        </w:rPr>
      </w:pPr>
    </w:p>
    <w:p w14:paraId="1F5C9F71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rFonts w:ascii="symbol³&lt;/FONT" w:hAnsi="symbol³&lt;/FONT"/>
          <w:b/>
          <w:bCs/>
          <w:color w:val="000000"/>
          <w:sz w:val="32"/>
          <w:szCs w:val="32"/>
        </w:rPr>
        <w:t>Пожар</w:t>
      </w:r>
      <w:r>
        <w:rPr>
          <w:rFonts w:ascii="symbol³&lt;/FONT" w:hAnsi="symbol³&lt;/FONT"/>
          <w:color w:val="000000"/>
          <w:sz w:val="32"/>
          <w:szCs w:val="32"/>
        </w:rPr>
        <w:t xml:space="preserve"> -</w:t>
      </w:r>
      <w:r>
        <w:rPr>
          <w:rFonts w:ascii="symbol³&lt;/FONT" w:hAnsi="symbol³&lt;/FONT"/>
          <w:sz w:val="32"/>
          <w:szCs w:val="32"/>
        </w:rPr>
        <w:t xml:space="preserve"> это неконтролируемый процесс горения.</w:t>
      </w:r>
    </w:p>
    <w:p w14:paraId="2EE9B892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 </w:t>
      </w:r>
      <w:r>
        <w:rPr>
          <w:rFonts w:ascii="symbol³&lt;/FONT" w:hAnsi="symbol³&lt;/FONT"/>
          <w:b/>
          <w:bCs/>
          <w:color w:val="000000"/>
          <w:sz w:val="32"/>
          <w:szCs w:val="32"/>
        </w:rPr>
        <w:t>Взрыв</w:t>
      </w:r>
      <w:r>
        <w:rPr>
          <w:rFonts w:ascii="symbol³&lt;/FONT" w:hAnsi="symbol³&lt;/FONT"/>
          <w:color w:val="000000"/>
          <w:sz w:val="32"/>
          <w:szCs w:val="32"/>
        </w:rPr>
        <w:t xml:space="preserve"> -</w:t>
      </w:r>
      <w:r>
        <w:rPr>
          <w:rFonts w:ascii="symbol³&lt;/FONT" w:hAnsi="symbol³&lt;/FONT"/>
          <w:sz w:val="32"/>
          <w:szCs w:val="32"/>
        </w:rPr>
        <w:t xml:space="preserve"> это освобождение большого количества энергии в ограниченном объёме и с ограниченным временем.</w:t>
      </w:r>
    </w:p>
    <w:p w14:paraId="48814A6B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b/>
          <w:iCs/>
          <w:sz w:val="32"/>
          <w:szCs w:val="32"/>
        </w:rPr>
        <w:t xml:space="preserve">Вспышка </w:t>
      </w:r>
      <w:r>
        <w:rPr>
          <w:sz w:val="32"/>
          <w:szCs w:val="32"/>
        </w:rPr>
        <w:t>- быстрое сгорание горючей смеси, не сопровождающееся образованием сжатых газов.</w:t>
      </w:r>
    </w:p>
    <w:p w14:paraId="22D4C3AC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b/>
          <w:iCs/>
          <w:sz w:val="32"/>
          <w:szCs w:val="32"/>
        </w:rPr>
        <w:t xml:space="preserve">Возгорание </w:t>
      </w:r>
      <w:r>
        <w:rPr>
          <w:sz w:val="32"/>
          <w:szCs w:val="32"/>
        </w:rPr>
        <w:t>- возникновение горения под воздействием источника</w:t>
      </w:r>
    </w:p>
    <w:p w14:paraId="3B4048E1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зажигания. </w:t>
      </w:r>
    </w:p>
    <w:p w14:paraId="77B9ECFE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b/>
          <w:iCs/>
          <w:sz w:val="32"/>
          <w:szCs w:val="32"/>
        </w:rPr>
        <w:t>Воспламенение</w:t>
      </w:r>
      <w:r>
        <w:rPr>
          <w:i/>
          <w:iCs/>
          <w:sz w:val="32"/>
          <w:szCs w:val="32"/>
        </w:rPr>
        <w:t xml:space="preserve"> - </w:t>
      </w:r>
      <w:r>
        <w:rPr>
          <w:sz w:val="32"/>
          <w:szCs w:val="32"/>
        </w:rPr>
        <w:t>возгорание, сопровождающееся появлением пламени.</w:t>
      </w:r>
    </w:p>
    <w:p w14:paraId="3D16BE26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b/>
          <w:iCs/>
          <w:sz w:val="32"/>
          <w:szCs w:val="32"/>
        </w:rPr>
        <w:t>Самовозгорание</w:t>
      </w:r>
      <w:r>
        <w:rPr>
          <w:i/>
          <w:iCs/>
          <w:sz w:val="32"/>
          <w:szCs w:val="32"/>
        </w:rPr>
        <w:t xml:space="preserve"> </w:t>
      </w:r>
      <w:r>
        <w:rPr>
          <w:sz w:val="32"/>
          <w:szCs w:val="32"/>
        </w:rPr>
        <w:t>- явление резкого увеличения скорости экзотермических реакций, приводящее к возникновению горения вещества при отсутствии источника зажигания.</w:t>
      </w:r>
    </w:p>
    <w:p w14:paraId="6CA09EC4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36590" cy="4140200"/>
            <wp:effectExtent l="0" t="0" r="8890" b="508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Рисунок 1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30" cy="4146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41A0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Рисунок 13.1. Схема деления, системы, виды пожарной безопасности</w:t>
      </w:r>
    </w:p>
    <w:p w14:paraId="3FFAC29D">
      <w:pPr>
        <w:spacing w:line="360" w:lineRule="auto"/>
        <w:ind w:firstLine="720"/>
        <w:jc w:val="both"/>
        <w:rPr>
          <w:b/>
          <w:sz w:val="32"/>
          <w:szCs w:val="32"/>
        </w:rPr>
      </w:pPr>
    </w:p>
    <w:p w14:paraId="0F4795BD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b/>
          <w:sz w:val="32"/>
          <w:szCs w:val="32"/>
        </w:rPr>
        <w:t>По степени горючести вещества делятся на</w:t>
      </w:r>
      <w:r>
        <w:rPr>
          <w:sz w:val="32"/>
          <w:szCs w:val="32"/>
        </w:rPr>
        <w:t>: горючие (сгораемые), трудногорючие (трудносгораемые) и негорючие (несгораемые).</w:t>
      </w:r>
    </w:p>
    <w:p w14:paraId="78B6318B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 Поражающие факторы: </w:t>
      </w:r>
    </w:p>
    <w:p w14:paraId="3344F5DA">
      <w:pPr>
        <w:numPr>
          <w:ilvl w:val="0"/>
          <w:numId w:val="1"/>
        </w:numPr>
        <w:tabs>
          <w:tab w:val="left" w:pos="360"/>
          <w:tab w:val="clear" w:pos="720"/>
        </w:tabs>
        <w:spacing w:line="360" w:lineRule="auto"/>
        <w:ind w:left="0" w:firstLine="720"/>
        <w:jc w:val="both"/>
        <w:rPr>
          <w:rFonts w:ascii="symbol³&lt;/FONT" w:hAnsi="symbol³&lt;/FONT"/>
          <w:sz w:val="32"/>
          <w:szCs w:val="32"/>
        </w:rPr>
      </w:pPr>
      <w:r>
        <w:rPr>
          <w:sz w:val="32"/>
          <w:szCs w:val="32"/>
        </w:rPr>
        <w:t>в случае пожара</w:t>
      </w:r>
      <w:r>
        <w:rPr>
          <w:rFonts w:ascii="symbol³&lt;/FONT" w:hAnsi="symbol³&lt;/FONT"/>
          <w:sz w:val="32"/>
          <w:szCs w:val="32"/>
        </w:rPr>
        <w:t xml:space="preserve">: </w:t>
      </w:r>
    </w:p>
    <w:p w14:paraId="1F2B771B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воздействия огня; </w:t>
      </w:r>
    </w:p>
    <w:p w14:paraId="3F192290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отравление дымом </w:t>
      </w:r>
    </w:p>
    <w:p w14:paraId="5D1E9E2F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воздействие температуры; </w:t>
      </w:r>
    </w:p>
    <w:p w14:paraId="51556E1A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обугливание предметов и конструкций (ожог) - особенно характерно для металлических конструкций; </w:t>
      </w:r>
    </w:p>
    <w:p w14:paraId="6AE7A29A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уничтожение всего сгораемого, в том числе смерть или трупов; </w:t>
      </w:r>
    </w:p>
    <w:p w14:paraId="704AA536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- взрыв</w:t>
      </w:r>
      <w:r>
        <w:rPr>
          <w:sz w:val="32"/>
          <w:szCs w:val="32"/>
        </w:rPr>
        <w:t>;</w:t>
      </w:r>
      <w:r>
        <w:rPr>
          <w:rFonts w:ascii="symbol³&lt;/FONT" w:hAnsi="symbol³&lt;/FONT"/>
          <w:sz w:val="32"/>
          <w:szCs w:val="32"/>
        </w:rPr>
        <w:t xml:space="preserve"> </w:t>
      </w:r>
    </w:p>
    <w:p w14:paraId="53F73E6B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- утечка СДЯВ</w:t>
      </w:r>
      <w:r>
        <w:rPr>
          <w:sz w:val="32"/>
          <w:szCs w:val="32"/>
        </w:rPr>
        <w:t xml:space="preserve"> (сильнодействующие ядовитые вещества)</w:t>
      </w:r>
      <w:r>
        <w:rPr>
          <w:rFonts w:ascii="symbol³&lt;/FONT" w:hAnsi="symbol³&lt;/FONT"/>
          <w:sz w:val="32"/>
          <w:szCs w:val="32"/>
        </w:rPr>
        <w:t xml:space="preserve">; </w:t>
      </w:r>
    </w:p>
    <w:p w14:paraId="0F874A8D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затопление помещений водой; </w:t>
      </w:r>
    </w:p>
    <w:p w14:paraId="70D8B5AD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материальный ущерб. </w:t>
      </w:r>
    </w:p>
    <w:p w14:paraId="0D63A47C">
      <w:pPr>
        <w:numPr>
          <w:ilvl w:val="0"/>
          <w:numId w:val="1"/>
        </w:numPr>
        <w:tabs>
          <w:tab w:val="left" w:pos="360"/>
          <w:tab w:val="clear" w:pos="720"/>
        </w:tabs>
        <w:spacing w:line="360" w:lineRule="auto"/>
        <w:ind w:left="0" w:firstLine="720"/>
        <w:jc w:val="both"/>
        <w:rPr>
          <w:rFonts w:ascii="symbol³&lt;/FONT" w:hAnsi="symbol³&lt;/FONT"/>
          <w:sz w:val="32"/>
          <w:szCs w:val="32"/>
        </w:rPr>
      </w:pPr>
      <w:r>
        <w:rPr>
          <w:sz w:val="32"/>
          <w:szCs w:val="32"/>
        </w:rPr>
        <w:t xml:space="preserve">в случае </w:t>
      </w:r>
      <w:r>
        <w:rPr>
          <w:rFonts w:ascii="symbol³&lt;/FONT" w:hAnsi="symbol³&lt;/FONT"/>
          <w:sz w:val="32"/>
          <w:szCs w:val="32"/>
        </w:rPr>
        <w:t>взрыв</w:t>
      </w:r>
      <w:r>
        <w:rPr>
          <w:sz w:val="32"/>
          <w:szCs w:val="32"/>
        </w:rPr>
        <w:t>а</w:t>
      </w:r>
      <w:r>
        <w:rPr>
          <w:rFonts w:ascii="symbol³&lt;/FONT" w:hAnsi="symbol³&lt;/FONT"/>
          <w:sz w:val="32"/>
          <w:szCs w:val="32"/>
        </w:rPr>
        <w:t xml:space="preserve">: </w:t>
      </w:r>
    </w:p>
    <w:p w14:paraId="3C5B9017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световое излучение (ожог сетчатки глаза); </w:t>
      </w:r>
    </w:p>
    <w:p w14:paraId="4E978204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звук (лопнут барабанные перепонки); </w:t>
      </w:r>
    </w:p>
    <w:p w14:paraId="5D30C67E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drawing>
          <wp:inline distT="0" distB="0" distL="0" distR="0">
            <wp:extent cx="127635" cy="148590"/>
            <wp:effectExtent l="0" t="0" r="9525" b="3810"/>
            <wp:docPr id="59" name="Рисунок 59" descr="im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im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³&lt;/FONT" w:hAnsi="symbol³&lt;/FONT"/>
          <w:sz w:val="32"/>
          <w:szCs w:val="32"/>
        </w:rPr>
        <w:t xml:space="preserve">P (разрыв внутренних органов); </w:t>
      </w:r>
    </w:p>
    <w:p w14:paraId="71556BA4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 xml:space="preserve">- осколочные поля (вторичные факторы); </w:t>
      </w:r>
    </w:p>
    <w:p w14:paraId="529AAE03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- завалы и погребения (</w:t>
      </w:r>
      <w:r>
        <w:rPr>
          <w:sz w:val="32"/>
          <w:szCs w:val="32"/>
        </w:rPr>
        <w:t xml:space="preserve">человек способен </w:t>
      </w:r>
      <w:r>
        <w:rPr>
          <w:rFonts w:ascii="symbol³&lt;/FONT" w:hAnsi="symbol³&lt;/FONT"/>
          <w:sz w:val="32"/>
          <w:szCs w:val="32"/>
        </w:rPr>
        <w:t>выжить 1 - 2 суток)</w:t>
      </w:r>
      <w:r>
        <w:rPr>
          <w:sz w:val="32"/>
          <w:szCs w:val="32"/>
        </w:rPr>
        <w:t>;</w:t>
      </w:r>
    </w:p>
    <w:p w14:paraId="07E1C8F4">
      <w:pPr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sz w:val="32"/>
          <w:szCs w:val="32"/>
        </w:rPr>
        <w:t>- повышение температуры тела.</w:t>
      </w:r>
    </w:p>
    <w:p w14:paraId="6C1FAE15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После воздействия поражающих факторов у человека</w:t>
      </w:r>
      <w:r>
        <w:rPr>
          <w:sz w:val="32"/>
          <w:szCs w:val="32"/>
        </w:rPr>
        <w:t xml:space="preserve"> возможны</w:t>
      </w:r>
      <w:r>
        <w:rPr>
          <w:rFonts w:ascii="symbol³&lt;/FONT" w:hAnsi="symbol³&lt;/FONT"/>
          <w:sz w:val="32"/>
          <w:szCs w:val="32"/>
        </w:rPr>
        <w:t>:</w:t>
      </w:r>
    </w:p>
    <w:p w14:paraId="6CDC517D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t xml:space="preserve">ожоги дыхательных путей, </w:t>
      </w:r>
      <w:r>
        <w:rPr>
          <w:sz w:val="32"/>
          <w:szCs w:val="32"/>
        </w:rPr>
        <w:t>приводящие</w:t>
      </w:r>
      <w:r>
        <w:rPr>
          <w:rFonts w:ascii="symbol³&lt;/FONT" w:hAnsi="symbol³&lt;/FONT"/>
          <w:sz w:val="32"/>
          <w:szCs w:val="32"/>
        </w:rPr>
        <w:t xml:space="preserve"> к отёку лёгких;</w:t>
      </w:r>
    </w:p>
    <w:p w14:paraId="6F63EAD5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t xml:space="preserve">отравление дымом; </w:t>
      </w:r>
    </w:p>
    <w:p w14:paraId="296AF9F8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t xml:space="preserve">ожоги; </w:t>
      </w:r>
    </w:p>
    <w:p w14:paraId="037D7A0D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t xml:space="preserve">переломы, ушибы, разрыв внутренних органов; </w:t>
      </w:r>
    </w:p>
    <w:p w14:paraId="240F2E90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t xml:space="preserve">комбинированное воздействие. </w:t>
      </w:r>
    </w:p>
    <w:p w14:paraId="2537BCA8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sz w:val="32"/>
          <w:szCs w:val="32"/>
        </w:rPr>
        <w:t>Для возникновения взрывов и пожаров, н</w:t>
      </w:r>
      <w:r>
        <w:rPr>
          <w:rFonts w:ascii="symbol³&lt;/FONT" w:hAnsi="symbol³&lt;/FONT"/>
          <w:sz w:val="32"/>
          <w:szCs w:val="32"/>
        </w:rPr>
        <w:t>еобходимо и достаточно выполнить 3 условия:</w:t>
      </w:r>
    </w:p>
    <w:p w14:paraId="1D390247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- горючее вещество (дерево, H</w:t>
      </w:r>
      <w:r>
        <w:rPr>
          <w:rFonts w:ascii="symbol³&lt;/FONT" w:hAnsi="symbol³&lt;/FONT"/>
          <w:sz w:val="32"/>
          <w:szCs w:val="32"/>
          <w:vertAlign w:val="subscript"/>
        </w:rPr>
        <w:t>2</w:t>
      </w:r>
      <w:r>
        <w:rPr>
          <w:rFonts w:ascii="symbol³&lt;/FONT" w:hAnsi="symbol³&lt;/FONT"/>
          <w:sz w:val="32"/>
          <w:szCs w:val="32"/>
        </w:rPr>
        <w:t xml:space="preserve">, пропан и др.); </w:t>
      </w:r>
    </w:p>
    <w:p w14:paraId="4BACBE83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"/>
          <w:sz w:val="32"/>
          <w:szCs w:val="32"/>
        </w:rPr>
        <w:t xml:space="preserve">- </w:t>
      </w:r>
      <w:r>
        <w:rPr>
          <w:rFonts w:ascii="symbol³&lt;/FONT" w:hAnsi="symbol³&lt;/FONT"/>
          <w:sz w:val="32"/>
          <w:szCs w:val="32"/>
        </w:rPr>
        <w:t xml:space="preserve">окислитель; </w:t>
      </w:r>
    </w:p>
    <w:p w14:paraId="40591592">
      <w:pPr>
        <w:tabs>
          <w:tab w:val="left" w:pos="360"/>
        </w:tabs>
        <w:spacing w:line="360" w:lineRule="auto"/>
        <w:ind w:firstLine="720"/>
        <w:jc w:val="both"/>
        <w:rPr>
          <w:rFonts w:ascii="symbol³&lt;/FONT" w:hAnsi="symbol³&lt;/FONT"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- источник воспламенения (искра, реакция экзотермии).</w:t>
      </w:r>
    </w:p>
    <w:p w14:paraId="6C84412D">
      <w:pPr>
        <w:tabs>
          <w:tab w:val="left" w:pos="360"/>
        </w:tabs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Для предотвращения взрывов и пожаров выполняются следующие мероприятия:</w:t>
      </w:r>
    </w:p>
    <w:p w14:paraId="06DCD5C4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724525" cy="2563495"/>
            <wp:effectExtent l="0" t="0" r="5715" b="1206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496" cy="25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5648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Рисунок 13.2. Система профилактики пожаробезопасности</w:t>
      </w:r>
    </w:p>
    <w:p w14:paraId="2C31FE49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Задание предполагает выполнить следующие пункты:</w:t>
      </w:r>
    </w:p>
    <w:p w14:paraId="2ED4759A">
      <w:pPr>
        <w:numPr>
          <w:ilvl w:val="0"/>
          <w:numId w:val="2"/>
        </w:numPr>
        <w:spacing w:line="360" w:lineRule="auto"/>
        <w:ind w:left="0" w:firstLine="851"/>
        <w:contextualSpacing/>
        <w:jc w:val="both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Определить возможность воспламенения и распространения паровоздушной смеси ЛВЖ в помещении со свободным объемом V от внешнего источника зажигания. Количество испарившегося ЛВЖ принять равным: этанола - 3,2 бензола - 4,3 ацетона - 2,1 кг/м</w:t>
      </w:r>
      <w:r>
        <w:rPr>
          <w:rFonts w:eastAsia="Calibri"/>
          <w:sz w:val="32"/>
          <w:szCs w:val="32"/>
          <w:vertAlign w:val="superscript"/>
        </w:rPr>
        <w:t>3</w:t>
      </w:r>
      <w:r>
        <w:rPr>
          <w:rFonts w:eastAsia="Calibri"/>
          <w:sz w:val="32"/>
          <w:szCs w:val="32"/>
        </w:rPr>
        <w:t>.</w:t>
      </w:r>
    </w:p>
    <w:p w14:paraId="2A4D449D">
      <w:pPr>
        <w:numPr>
          <w:ilvl w:val="0"/>
          <w:numId w:val="2"/>
        </w:numPr>
        <w:spacing w:line="360" w:lineRule="auto"/>
        <w:ind w:left="0" w:firstLine="851"/>
        <w:contextualSpacing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Определить, относится ли помещение со свободным объемом V к категории А, если в результате расчетной аварии произошел пролив ЛВЖ в количестве M</w:t>
      </w:r>
      <w:r>
        <w:rPr>
          <w:rFonts w:eastAsia="Calibri"/>
          <w:sz w:val="32"/>
          <w:szCs w:val="32"/>
          <w:vertAlign w:val="subscript"/>
        </w:rPr>
        <w:t>ЛВЖ</w:t>
      </w:r>
      <w:r>
        <w:rPr>
          <w:rFonts w:eastAsia="Calibri"/>
          <w:sz w:val="32"/>
          <w:szCs w:val="32"/>
        </w:rPr>
        <w:t xml:space="preserve"> на пол и его испарение в течении </w:t>
      </w:r>
      <w:r>
        <w:rPr>
          <w:rFonts w:eastAsia="Calibri"/>
          <w:sz w:val="32"/>
          <w:szCs w:val="32"/>
          <w:lang w:val="en-US"/>
        </w:rPr>
        <w:t>t</w:t>
      </w:r>
      <w:r>
        <w:rPr>
          <w:rFonts w:eastAsia="Calibri"/>
          <w:sz w:val="32"/>
          <w:szCs w:val="32"/>
        </w:rPr>
        <w:t xml:space="preserve"> часов. </w:t>
      </w:r>
    </w:p>
    <w:p w14:paraId="04F6A069">
      <w:pPr>
        <w:numPr>
          <w:ilvl w:val="0"/>
          <w:numId w:val="2"/>
        </w:numPr>
        <w:spacing w:line="360" w:lineRule="auto"/>
        <w:ind w:left="0" w:firstLine="851"/>
        <w:contextualSpacing/>
        <w:rPr>
          <w:sz w:val="32"/>
          <w:szCs w:val="32"/>
        </w:rPr>
      </w:pPr>
      <w:r>
        <w:rPr>
          <w:sz w:val="32"/>
          <w:szCs w:val="32"/>
        </w:rPr>
        <w:t xml:space="preserve">Определить категорию пожарной опасности деревообрабатывающего участка площадью S, на котором одновременно находятся в обработке сосновая древесина массы Q  и древесноволокнистые плиты массой </w:t>
      </w:r>
      <w:r>
        <w:rPr>
          <w:sz w:val="32"/>
          <w:szCs w:val="32"/>
          <w:lang w:val="en-US"/>
        </w:rPr>
        <w:t>P</w:t>
      </w:r>
      <w:r>
        <w:rPr>
          <w:sz w:val="32"/>
          <w:szCs w:val="32"/>
        </w:rPr>
        <w:t>.</w:t>
      </w:r>
    </w:p>
    <w:p w14:paraId="656630C2">
      <w:pPr>
        <w:numPr>
          <w:ilvl w:val="0"/>
          <w:numId w:val="2"/>
        </w:numPr>
        <w:spacing w:line="360" w:lineRule="auto"/>
        <w:ind w:left="0" w:firstLine="851"/>
        <w:contextualSpacing/>
        <w:rPr>
          <w:sz w:val="32"/>
          <w:szCs w:val="32"/>
        </w:rPr>
      </w:pPr>
      <w:r>
        <w:rPr>
          <w:sz w:val="32"/>
          <w:szCs w:val="32"/>
        </w:rPr>
        <w:t>Определить категорию пожарной опасности здания площадью S</w:t>
      </w:r>
      <w:r>
        <w:rPr>
          <w:sz w:val="32"/>
          <w:szCs w:val="32"/>
          <w:vertAlign w:val="subscript"/>
        </w:rPr>
        <w:t>зд</w:t>
      </w:r>
      <w:r>
        <w:rPr>
          <w:sz w:val="32"/>
          <w:szCs w:val="32"/>
        </w:rPr>
        <w:t>=</w:t>
      </w:r>
      <w:r>
        <w:rPr>
          <w:rFonts w:eastAsia="Calibri"/>
          <w:sz w:val="32"/>
          <w:szCs w:val="32"/>
        </w:rPr>
        <w:t>2000 м</w:t>
      </w:r>
      <w:r>
        <w:rPr>
          <w:rFonts w:eastAsia="Calibri"/>
          <w:sz w:val="32"/>
          <w:szCs w:val="32"/>
          <w:vertAlign w:val="superscript"/>
        </w:rPr>
        <w:t>2</w:t>
      </w:r>
      <w:r>
        <w:rPr>
          <w:rFonts w:eastAsia="Calibri"/>
          <w:sz w:val="32"/>
          <w:szCs w:val="32"/>
        </w:rPr>
        <w:t xml:space="preserve">, если в нем имеется одно помещение площадью </w:t>
      </w:r>
      <w:r>
        <w:rPr>
          <w:rFonts w:eastAsia="Calibri"/>
          <w:sz w:val="32"/>
          <w:szCs w:val="32"/>
          <w:lang w:val="en-US"/>
        </w:rPr>
        <w:t>S</w:t>
      </w:r>
      <w:r>
        <w:rPr>
          <w:rFonts w:eastAsia="Calibri"/>
          <w:sz w:val="32"/>
          <w:szCs w:val="32"/>
          <w:vertAlign w:val="subscript"/>
        </w:rPr>
        <w:t xml:space="preserve">А </w:t>
      </w:r>
      <w:r>
        <w:rPr>
          <w:rFonts w:eastAsia="Calibri"/>
          <w:sz w:val="32"/>
          <w:szCs w:val="32"/>
        </w:rPr>
        <w:t>категории А, а остальные с площадями в пропорции x/y относятся к категориям Б и Д.</w:t>
      </w:r>
    </w:p>
    <w:p w14:paraId="60F21052">
      <w:pPr>
        <w:shd w:val="clear" w:color="auto" w:fill="FFFFFF"/>
        <w:autoSpaceDE w:val="0"/>
        <w:autoSpaceDN w:val="0"/>
        <w:adjustRightInd w:val="0"/>
        <w:spacing w:line="360" w:lineRule="auto"/>
        <w:ind w:firstLine="708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Исходные данные</w:t>
      </w:r>
    </w:p>
    <w:p w14:paraId="3C63E840">
      <w:pPr>
        <w:keepNext/>
        <w:shd w:val="clear" w:color="auto" w:fill="FFFFFF"/>
        <w:autoSpaceDE w:val="0"/>
        <w:autoSpaceDN w:val="0"/>
        <w:adjustRightInd w:val="0"/>
        <w:spacing w:line="360" w:lineRule="auto"/>
        <w:ind w:left="6372"/>
        <w:jc w:val="right"/>
        <w:outlineLvl w:val="4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Таблица 13.1.</w:t>
      </w:r>
    </w:p>
    <w:tbl>
      <w:tblPr>
        <w:tblStyle w:val="3"/>
        <w:tblW w:w="946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0"/>
        <w:gridCol w:w="540"/>
        <w:gridCol w:w="720"/>
        <w:gridCol w:w="720"/>
        <w:gridCol w:w="720"/>
        <w:gridCol w:w="720"/>
        <w:gridCol w:w="564"/>
        <w:gridCol w:w="618"/>
        <w:gridCol w:w="540"/>
        <w:gridCol w:w="540"/>
        <w:gridCol w:w="540"/>
      </w:tblGrid>
      <w:tr w14:paraId="535B5B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15" w:hRule="atLeast"/>
          <w:jc w:val="center"/>
        </w:trPr>
        <w:tc>
          <w:tcPr>
            <w:tcW w:w="3240" w:type="dxa"/>
            <w:shd w:val="clear" w:color="auto" w:fill="E5DFEC"/>
            <w:vAlign w:val="center"/>
          </w:tcPr>
          <w:p w14:paraId="616C6734">
            <w:pPr>
              <w:ind w:right="-3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Последняя цифра номера студенческого билета</w:t>
            </w:r>
          </w:p>
        </w:tc>
        <w:tc>
          <w:tcPr>
            <w:tcW w:w="540" w:type="dxa"/>
            <w:shd w:val="clear" w:color="auto" w:fill="E5DFEC"/>
            <w:vAlign w:val="center"/>
          </w:tcPr>
          <w:p w14:paraId="74CD279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720" w:type="dxa"/>
            <w:shd w:val="clear" w:color="auto" w:fill="E5DFEC"/>
            <w:vAlign w:val="center"/>
          </w:tcPr>
          <w:p w14:paraId="450F6499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20" w:type="dxa"/>
            <w:shd w:val="clear" w:color="auto" w:fill="E5DFEC"/>
            <w:vAlign w:val="center"/>
          </w:tcPr>
          <w:p w14:paraId="35CED52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20" w:type="dxa"/>
            <w:shd w:val="clear" w:color="auto" w:fill="E5DFEC"/>
            <w:vAlign w:val="center"/>
          </w:tcPr>
          <w:p w14:paraId="78E078A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720" w:type="dxa"/>
            <w:shd w:val="clear" w:color="auto" w:fill="E5DFEC"/>
            <w:vAlign w:val="center"/>
          </w:tcPr>
          <w:p w14:paraId="295FFC3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64" w:type="dxa"/>
            <w:shd w:val="clear" w:color="auto" w:fill="E5DFEC"/>
            <w:vAlign w:val="center"/>
          </w:tcPr>
          <w:p w14:paraId="61F14A5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18" w:type="dxa"/>
            <w:shd w:val="clear" w:color="auto" w:fill="E5DFEC"/>
            <w:vAlign w:val="center"/>
          </w:tcPr>
          <w:p w14:paraId="2A0D2B2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540" w:type="dxa"/>
            <w:shd w:val="clear" w:color="auto" w:fill="E5DFEC"/>
            <w:vAlign w:val="center"/>
          </w:tcPr>
          <w:p w14:paraId="77331E8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540" w:type="dxa"/>
            <w:shd w:val="clear" w:color="auto" w:fill="E5DFEC"/>
            <w:vAlign w:val="center"/>
          </w:tcPr>
          <w:p w14:paraId="0C381EB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540" w:type="dxa"/>
            <w:shd w:val="clear" w:color="auto" w:fill="E5DFEC"/>
            <w:vAlign w:val="center"/>
          </w:tcPr>
          <w:p w14:paraId="29E6895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</w:tr>
      <w:tr w14:paraId="54F011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28" w:hRule="atLeast"/>
          <w:jc w:val="center"/>
        </w:trPr>
        <w:tc>
          <w:tcPr>
            <w:tcW w:w="3240" w:type="dxa"/>
            <w:shd w:val="clear" w:color="auto" w:fill="E5DFEC"/>
            <w:vAlign w:val="center"/>
          </w:tcPr>
          <w:p w14:paraId="6C24C89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ЛВЖ</w:t>
            </w:r>
          </w:p>
        </w:tc>
        <w:tc>
          <w:tcPr>
            <w:tcW w:w="540" w:type="dxa"/>
            <w:shd w:val="clear" w:color="auto" w:fill="E5DFEC"/>
            <w:textDirection w:val="btLr"/>
            <w:vAlign w:val="center"/>
          </w:tcPr>
          <w:p w14:paraId="4FE8ADF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Бензол</w:t>
            </w:r>
          </w:p>
        </w:tc>
        <w:tc>
          <w:tcPr>
            <w:tcW w:w="720" w:type="dxa"/>
            <w:shd w:val="clear" w:color="auto" w:fill="E5DFEC"/>
            <w:textDirection w:val="btLr"/>
            <w:vAlign w:val="center"/>
          </w:tcPr>
          <w:p w14:paraId="143BA71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Этанол</w:t>
            </w:r>
          </w:p>
        </w:tc>
        <w:tc>
          <w:tcPr>
            <w:tcW w:w="720" w:type="dxa"/>
            <w:shd w:val="clear" w:color="auto" w:fill="E5DFEC"/>
            <w:textDirection w:val="btLr"/>
            <w:vAlign w:val="center"/>
          </w:tcPr>
          <w:p w14:paraId="56616E2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Ацетон</w:t>
            </w:r>
          </w:p>
        </w:tc>
        <w:tc>
          <w:tcPr>
            <w:tcW w:w="720" w:type="dxa"/>
            <w:shd w:val="clear" w:color="auto" w:fill="E5DFEC"/>
            <w:textDirection w:val="btLr"/>
            <w:vAlign w:val="center"/>
          </w:tcPr>
          <w:p w14:paraId="0DA90A4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Этанол</w:t>
            </w:r>
          </w:p>
        </w:tc>
        <w:tc>
          <w:tcPr>
            <w:tcW w:w="720" w:type="dxa"/>
            <w:shd w:val="clear" w:color="auto" w:fill="E5DFEC"/>
            <w:textDirection w:val="btLr"/>
            <w:vAlign w:val="center"/>
          </w:tcPr>
          <w:p w14:paraId="0C9D36C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Ацетон</w:t>
            </w:r>
          </w:p>
        </w:tc>
        <w:tc>
          <w:tcPr>
            <w:tcW w:w="564" w:type="dxa"/>
            <w:shd w:val="clear" w:color="auto" w:fill="E5DFEC"/>
            <w:textDirection w:val="btLr"/>
            <w:vAlign w:val="center"/>
          </w:tcPr>
          <w:p w14:paraId="06269DA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Бензол</w:t>
            </w:r>
          </w:p>
        </w:tc>
        <w:tc>
          <w:tcPr>
            <w:tcW w:w="618" w:type="dxa"/>
            <w:shd w:val="clear" w:color="auto" w:fill="E5DFEC"/>
            <w:textDirection w:val="btLr"/>
            <w:vAlign w:val="center"/>
          </w:tcPr>
          <w:p w14:paraId="6DAAD64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Бензол</w:t>
            </w:r>
          </w:p>
        </w:tc>
        <w:tc>
          <w:tcPr>
            <w:tcW w:w="540" w:type="dxa"/>
            <w:shd w:val="clear" w:color="auto" w:fill="E5DFEC"/>
            <w:textDirection w:val="btLr"/>
            <w:vAlign w:val="center"/>
          </w:tcPr>
          <w:p w14:paraId="6478BEAE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Ацетон</w:t>
            </w:r>
          </w:p>
        </w:tc>
        <w:tc>
          <w:tcPr>
            <w:tcW w:w="540" w:type="dxa"/>
            <w:shd w:val="clear" w:color="auto" w:fill="E5DFEC"/>
            <w:textDirection w:val="btLr"/>
            <w:vAlign w:val="center"/>
          </w:tcPr>
          <w:p w14:paraId="6F547D7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Этанол</w:t>
            </w:r>
          </w:p>
        </w:tc>
        <w:tc>
          <w:tcPr>
            <w:tcW w:w="540" w:type="dxa"/>
            <w:shd w:val="clear" w:color="auto" w:fill="E5DFEC"/>
            <w:textDirection w:val="btLr"/>
            <w:vAlign w:val="center"/>
          </w:tcPr>
          <w:p w14:paraId="17DCA55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Бензол</w:t>
            </w:r>
          </w:p>
        </w:tc>
      </w:tr>
      <w:tr w14:paraId="7FAAC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3" w:hRule="atLeast"/>
          <w:jc w:val="center"/>
        </w:trPr>
        <w:tc>
          <w:tcPr>
            <w:tcW w:w="3240" w:type="dxa"/>
            <w:shd w:val="clear" w:color="auto" w:fill="FDE9D9"/>
            <w:vAlign w:val="center"/>
          </w:tcPr>
          <w:p w14:paraId="7FAC6677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η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105DE18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65CF39E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1,5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35013E2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425449F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2,5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4D82ED0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564" w:type="dxa"/>
            <w:shd w:val="clear" w:color="auto" w:fill="DAEEF3"/>
            <w:textDirection w:val="btLr"/>
            <w:vAlign w:val="center"/>
          </w:tcPr>
          <w:p w14:paraId="65A950A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3,5</w:t>
            </w:r>
          </w:p>
        </w:tc>
        <w:tc>
          <w:tcPr>
            <w:tcW w:w="618" w:type="dxa"/>
            <w:shd w:val="clear" w:color="auto" w:fill="DAEEF3"/>
            <w:textDirection w:val="btLr"/>
            <w:vAlign w:val="center"/>
          </w:tcPr>
          <w:p w14:paraId="053D6FD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72DB296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4,5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67FDC8F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2068853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5,5</w:t>
            </w:r>
          </w:p>
        </w:tc>
      </w:tr>
      <w:tr w14:paraId="05FC6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9" w:hRule="atLeast"/>
          <w:jc w:val="center"/>
        </w:trPr>
        <w:tc>
          <w:tcPr>
            <w:tcW w:w="3240" w:type="dxa"/>
            <w:shd w:val="clear" w:color="auto" w:fill="FDE9D9"/>
            <w:vAlign w:val="center"/>
          </w:tcPr>
          <w:p w14:paraId="08F80801">
            <w:pPr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en-US"/>
              </w:rPr>
              <w:t>S</w:t>
            </w:r>
            <w:r>
              <w:rPr>
                <w:sz w:val="32"/>
                <w:szCs w:val="32"/>
              </w:rPr>
              <w:t>, м</w:t>
            </w:r>
            <w:r>
              <w:rPr>
                <w:sz w:val="32"/>
                <w:szCs w:val="32"/>
                <w:vertAlign w:val="superscript"/>
              </w:rPr>
              <w:t>2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62D3A8D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588513A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3FB8A18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115012C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603580C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</w:p>
        </w:tc>
        <w:tc>
          <w:tcPr>
            <w:tcW w:w="564" w:type="dxa"/>
            <w:shd w:val="clear" w:color="auto" w:fill="DAEEF3"/>
            <w:textDirection w:val="btLr"/>
            <w:vAlign w:val="center"/>
          </w:tcPr>
          <w:p w14:paraId="6F6EA2D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200</w:t>
            </w:r>
          </w:p>
        </w:tc>
        <w:tc>
          <w:tcPr>
            <w:tcW w:w="618" w:type="dxa"/>
            <w:shd w:val="clear" w:color="auto" w:fill="DAEEF3"/>
            <w:textDirection w:val="btLr"/>
            <w:vAlign w:val="center"/>
          </w:tcPr>
          <w:p w14:paraId="4672323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157593B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3650DFE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18F29F3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300</w:t>
            </w:r>
          </w:p>
        </w:tc>
      </w:tr>
      <w:tr w14:paraId="218A14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3" w:hRule="atLeast"/>
          <w:jc w:val="center"/>
        </w:trPr>
        <w:tc>
          <w:tcPr>
            <w:tcW w:w="3240" w:type="dxa"/>
            <w:shd w:val="clear" w:color="auto" w:fill="FDE9D9"/>
            <w:vAlign w:val="center"/>
          </w:tcPr>
          <w:p w14:paraId="2CA3C915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t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693B26D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0,5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048A7B3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4B056C9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1,5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10257D8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3A658CD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2,5</w:t>
            </w:r>
          </w:p>
        </w:tc>
        <w:tc>
          <w:tcPr>
            <w:tcW w:w="564" w:type="dxa"/>
            <w:shd w:val="clear" w:color="auto" w:fill="DAEEF3"/>
            <w:textDirection w:val="btLr"/>
            <w:vAlign w:val="center"/>
          </w:tcPr>
          <w:p w14:paraId="6C6384E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618" w:type="dxa"/>
            <w:shd w:val="clear" w:color="auto" w:fill="DAEEF3"/>
            <w:textDirection w:val="btLr"/>
            <w:vAlign w:val="center"/>
          </w:tcPr>
          <w:p w14:paraId="6888244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3,5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023486C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52BE7E0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7ADF34B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14:paraId="7C464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1" w:hRule="atLeast"/>
          <w:jc w:val="center"/>
        </w:trPr>
        <w:tc>
          <w:tcPr>
            <w:tcW w:w="3240" w:type="dxa"/>
            <w:shd w:val="clear" w:color="auto" w:fill="FDE9D9"/>
            <w:vAlign w:val="center"/>
          </w:tcPr>
          <w:p w14:paraId="68FF522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en-US"/>
              </w:rPr>
              <w:t>G</w:t>
            </w:r>
            <w:r>
              <w:rPr>
                <w:b/>
                <w:sz w:val="32"/>
                <w:szCs w:val="32"/>
                <w:vertAlign w:val="subscript"/>
                <w:lang w:val="en-US"/>
              </w:rPr>
              <w:t>i</w:t>
            </w:r>
            <w:r>
              <w:rPr>
                <w:b/>
                <w:sz w:val="32"/>
                <w:szCs w:val="32"/>
                <w:vertAlign w:val="subscript"/>
              </w:rPr>
              <w:t xml:space="preserve"> </w:t>
            </w:r>
            <w:r>
              <w:rPr>
                <w:sz w:val="32"/>
                <w:szCs w:val="32"/>
              </w:rPr>
              <w:t>кг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6B60070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4EE0502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1419CA8A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18C111E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0FC4975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</w:p>
        </w:tc>
        <w:tc>
          <w:tcPr>
            <w:tcW w:w="564" w:type="dxa"/>
            <w:shd w:val="clear" w:color="auto" w:fill="DAEEF3"/>
            <w:textDirection w:val="btLr"/>
            <w:vAlign w:val="center"/>
          </w:tcPr>
          <w:p w14:paraId="60F8F68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</w:t>
            </w:r>
          </w:p>
        </w:tc>
        <w:tc>
          <w:tcPr>
            <w:tcW w:w="618" w:type="dxa"/>
            <w:shd w:val="clear" w:color="auto" w:fill="DAEEF3"/>
            <w:textDirection w:val="btLr"/>
            <w:vAlign w:val="center"/>
          </w:tcPr>
          <w:p w14:paraId="109ACD9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263F781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002A92C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3F9DE25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35</w:t>
            </w:r>
          </w:p>
        </w:tc>
      </w:tr>
      <w:tr w14:paraId="55A848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7" w:hRule="atLeast"/>
          <w:jc w:val="center"/>
        </w:trPr>
        <w:tc>
          <w:tcPr>
            <w:tcW w:w="3240" w:type="dxa"/>
            <w:shd w:val="clear" w:color="auto" w:fill="FDE9D9"/>
            <w:vAlign w:val="center"/>
          </w:tcPr>
          <w:p w14:paraId="2B8DA277">
            <w:pPr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en-US"/>
              </w:rPr>
              <w:t>S</w:t>
            </w:r>
            <w:r>
              <w:rPr>
                <w:b/>
                <w:sz w:val="32"/>
                <w:szCs w:val="32"/>
                <w:vertAlign w:val="subscript"/>
                <w:lang w:val="en-US"/>
              </w:rPr>
              <w:t>A</w:t>
            </w:r>
            <w:r>
              <w:rPr>
                <w:sz w:val="32"/>
                <w:szCs w:val="32"/>
              </w:rPr>
              <w:t>, м</w:t>
            </w:r>
            <w:r>
              <w:rPr>
                <w:sz w:val="32"/>
                <w:szCs w:val="32"/>
                <w:vertAlign w:val="superscript"/>
              </w:rPr>
              <w:t>2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7C23EE2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59EFF2D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0B5E434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6CF5F46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7DA3F80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90</w:t>
            </w:r>
          </w:p>
        </w:tc>
        <w:tc>
          <w:tcPr>
            <w:tcW w:w="564" w:type="dxa"/>
            <w:shd w:val="clear" w:color="auto" w:fill="DAEEF3"/>
            <w:textDirection w:val="btLr"/>
            <w:vAlign w:val="center"/>
          </w:tcPr>
          <w:p w14:paraId="3336DC9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</w:t>
            </w:r>
          </w:p>
        </w:tc>
        <w:tc>
          <w:tcPr>
            <w:tcW w:w="618" w:type="dxa"/>
            <w:shd w:val="clear" w:color="auto" w:fill="DAEEF3"/>
            <w:textDirection w:val="btLr"/>
            <w:vAlign w:val="center"/>
          </w:tcPr>
          <w:p w14:paraId="0FB7720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49C29CCE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42882B4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130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0DECC4AE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140</w:t>
            </w:r>
          </w:p>
        </w:tc>
      </w:tr>
      <w:tr w14:paraId="23E3DD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45" w:hRule="atLeast"/>
          <w:jc w:val="center"/>
        </w:trPr>
        <w:tc>
          <w:tcPr>
            <w:tcW w:w="3240" w:type="dxa"/>
            <w:shd w:val="clear" w:color="auto" w:fill="FDE9D9"/>
            <w:vAlign w:val="center"/>
          </w:tcPr>
          <w:p w14:paraId="384EA6E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x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237689DB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10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08A58266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18CC45A7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58E07D69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720" w:type="dxa"/>
            <w:shd w:val="clear" w:color="auto" w:fill="DAEEF3"/>
            <w:textDirection w:val="btLr"/>
            <w:vAlign w:val="center"/>
          </w:tcPr>
          <w:p w14:paraId="5ED5325F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</w:t>
            </w:r>
          </w:p>
        </w:tc>
        <w:tc>
          <w:tcPr>
            <w:tcW w:w="564" w:type="dxa"/>
            <w:shd w:val="clear" w:color="auto" w:fill="DAEEF3"/>
            <w:textDirection w:val="btLr"/>
            <w:vAlign w:val="center"/>
          </w:tcPr>
          <w:p w14:paraId="0155994A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618" w:type="dxa"/>
            <w:shd w:val="clear" w:color="auto" w:fill="DAEEF3"/>
            <w:textDirection w:val="btLr"/>
            <w:vAlign w:val="center"/>
          </w:tcPr>
          <w:p w14:paraId="0774A254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548EFD0A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7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32961ECC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540" w:type="dxa"/>
            <w:shd w:val="clear" w:color="auto" w:fill="DAEEF3"/>
            <w:textDirection w:val="btLr"/>
            <w:vAlign w:val="center"/>
          </w:tcPr>
          <w:p w14:paraId="4A4C463E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</w:tr>
    </w:tbl>
    <w:p w14:paraId="03D7BEC8">
      <w:pPr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sz w:val="32"/>
          <w:szCs w:val="32"/>
        </w:rPr>
      </w:pPr>
    </w:p>
    <w:p w14:paraId="64AB482B">
      <w:pPr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808080"/>
          <w:sz w:val="32"/>
          <w:szCs w:val="32"/>
        </w:rPr>
      </w:pPr>
      <w:r>
        <w:rPr>
          <w:sz w:val="32"/>
          <w:szCs w:val="32"/>
        </w:rPr>
        <w:t>Таблица 13.2.</w:t>
      </w:r>
    </w:p>
    <w:tbl>
      <w:tblPr>
        <w:tblStyle w:val="3"/>
        <w:tblW w:w="502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4"/>
        <w:gridCol w:w="725"/>
        <w:gridCol w:w="670"/>
        <w:gridCol w:w="725"/>
        <w:gridCol w:w="670"/>
        <w:gridCol w:w="725"/>
        <w:gridCol w:w="670"/>
        <w:gridCol w:w="725"/>
        <w:gridCol w:w="670"/>
        <w:gridCol w:w="670"/>
        <w:gridCol w:w="584"/>
      </w:tblGrid>
      <w:tr w14:paraId="13EA8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59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0555AE2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Предпоследняя цифра номера студенческого билета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425ED1E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1FDCC45A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7637F3A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484D44C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602E927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61B8925A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7B5A4B5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32B6651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3A7D2DD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450E2C6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</w:tr>
      <w:tr w14:paraId="1887E4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677F5F87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</w:rPr>
              <w:t>V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77726C9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462B385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58684F0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3D0C5FD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3CF63A6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2F4187F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7D555A9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723FB20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7C7B0AC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130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5185BE4A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140</w:t>
            </w:r>
          </w:p>
        </w:tc>
      </w:tr>
      <w:tr w14:paraId="32C2E7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9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01E19C20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G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65C7D3A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3F91732E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6689557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62F73CE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7EA6F91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0B5250BA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4E7209D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465C44E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1BD5C3D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4D0F4DD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</w:tr>
      <w:tr w14:paraId="7D1D0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5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4E8DDCFE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V</w:t>
            </w:r>
            <w:r>
              <w:rPr>
                <w:b/>
                <w:sz w:val="32"/>
                <w:szCs w:val="32"/>
                <w:vertAlign w:val="subscript"/>
                <w:lang w:val="en-US"/>
              </w:rPr>
              <w:t>св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731E331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0F710C1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0DC37A7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5946831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140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3758877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2F645CB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160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05964BC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170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4B055C0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122EC2D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190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78FF21E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200</w:t>
            </w:r>
          </w:p>
        </w:tc>
      </w:tr>
      <w:tr w14:paraId="5004C5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1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3FCB0498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K</w:t>
            </w:r>
            <w:r>
              <w:rPr>
                <w:b/>
                <w:sz w:val="32"/>
                <w:szCs w:val="32"/>
                <w:vertAlign w:val="subscript"/>
                <w:lang w:val="en-US"/>
              </w:rPr>
              <w:t>H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1E5EFAA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391F7B3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49E1FE4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1DEA5D2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6AB35E1E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25924E06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5ADE1B7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1BD9D6B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59BB7F2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6E5DA342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</w:tr>
      <w:tr w14:paraId="689560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9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6D31D114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</w:rPr>
              <w:t>M</w:t>
            </w:r>
            <w:r>
              <w:rPr>
                <w:b/>
                <w:sz w:val="32"/>
                <w:szCs w:val="32"/>
                <w:vertAlign w:val="subscript"/>
              </w:rPr>
              <w:t>ЛВЖ</w:t>
            </w:r>
            <w:r>
              <w:rPr>
                <w:sz w:val="32"/>
                <w:szCs w:val="32"/>
              </w:rPr>
              <w:t>, кг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094695A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61127225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141C7F99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4B37DACA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0137859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2D54F4D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3200991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224887D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1167CC4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505D069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</w:t>
            </w:r>
          </w:p>
        </w:tc>
      </w:tr>
      <w:tr w14:paraId="0F67D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09" w:hRule="atLeast"/>
          <w:jc w:val="center"/>
        </w:trPr>
        <w:tc>
          <w:tcPr>
            <w:tcW w:w="2147" w:type="dxa"/>
            <w:shd w:val="clear" w:color="auto" w:fill="E5DFEC"/>
            <w:vAlign w:val="center"/>
          </w:tcPr>
          <w:p w14:paraId="12650900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y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275B466E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760329C0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0643E13E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760784F6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4056CEF1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5DCD45D6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</w:t>
            </w:r>
          </w:p>
        </w:tc>
        <w:tc>
          <w:tcPr>
            <w:tcW w:w="827" w:type="dxa"/>
            <w:shd w:val="clear" w:color="auto" w:fill="FDE9D9"/>
            <w:textDirection w:val="btLr"/>
            <w:vAlign w:val="center"/>
          </w:tcPr>
          <w:p w14:paraId="213FEA6C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7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0666A32D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733" w:type="dxa"/>
            <w:shd w:val="clear" w:color="auto" w:fill="FDE9D9"/>
            <w:textDirection w:val="btLr"/>
            <w:vAlign w:val="center"/>
          </w:tcPr>
          <w:p w14:paraId="29A02B4E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  <w:tc>
          <w:tcPr>
            <w:tcW w:w="490" w:type="dxa"/>
            <w:shd w:val="clear" w:color="auto" w:fill="FDE9D9"/>
            <w:textDirection w:val="btLr"/>
            <w:vAlign w:val="center"/>
          </w:tcPr>
          <w:p w14:paraId="08FD9207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10</w:t>
            </w:r>
          </w:p>
        </w:tc>
      </w:tr>
    </w:tbl>
    <w:p w14:paraId="5C9F2BB0">
      <w:pPr>
        <w:shd w:val="clear" w:color="auto" w:fill="FFFFFF"/>
        <w:autoSpaceDE w:val="0"/>
        <w:autoSpaceDN w:val="0"/>
        <w:adjustRightInd w:val="0"/>
        <w:spacing w:line="360" w:lineRule="auto"/>
        <w:rPr>
          <w:sz w:val="32"/>
          <w:szCs w:val="32"/>
        </w:rPr>
      </w:pPr>
    </w:p>
    <w:p w14:paraId="786DC68D">
      <w:pPr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>Таблица 13.3.</w:t>
      </w:r>
    </w:p>
    <w:tbl>
      <w:tblPr>
        <w:tblStyle w:val="3"/>
        <w:tblW w:w="5172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0"/>
        <w:gridCol w:w="1443"/>
        <w:gridCol w:w="963"/>
        <w:gridCol w:w="963"/>
        <w:gridCol w:w="1442"/>
        <w:gridCol w:w="1920"/>
        <w:gridCol w:w="963"/>
      </w:tblGrid>
      <w:tr w14:paraId="389CE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4" w:hRule="atLeast"/>
          <w:jc w:val="center"/>
        </w:trPr>
        <w:tc>
          <w:tcPr>
            <w:tcW w:w="1228" w:type="dxa"/>
            <w:shd w:val="clear" w:color="auto" w:fill="FDE9D9"/>
            <w:vAlign w:val="center"/>
          </w:tcPr>
          <w:p w14:paraId="03EF7E4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ЛВЖ</w:t>
            </w:r>
          </w:p>
        </w:tc>
        <w:tc>
          <w:tcPr>
            <w:tcW w:w="1583" w:type="dxa"/>
            <w:shd w:val="clear" w:color="auto" w:fill="EAF1DD"/>
            <w:vAlign w:val="center"/>
          </w:tcPr>
          <w:p w14:paraId="734576A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Химическая формула и общая молярная масса()</w:t>
            </w:r>
          </w:p>
        </w:tc>
        <w:tc>
          <w:tcPr>
            <w:tcW w:w="1056" w:type="dxa"/>
            <w:shd w:val="clear" w:color="auto" w:fill="EAF1DD"/>
            <w:vAlign w:val="center"/>
          </w:tcPr>
          <w:p w14:paraId="0CAC6ACC">
            <w:pPr>
              <w:jc w:val="center"/>
              <w:rPr>
                <w:b/>
                <w:i/>
                <w:sz w:val="32"/>
                <w:szCs w:val="32"/>
              </w:rPr>
            </w:pPr>
            <w:r>
              <w:rPr>
                <w:b/>
                <w:i/>
                <w:sz w:val="32"/>
                <w:szCs w:val="32"/>
              </w:rPr>
              <w:sym w:font="Symbol" w:char="F072"/>
            </w:r>
            <w:r>
              <w:rPr>
                <w:b/>
                <w:i/>
                <w:sz w:val="32"/>
                <w:szCs w:val="32"/>
                <w:vertAlign w:val="subscript"/>
              </w:rPr>
              <w:t xml:space="preserve">ЛВЖ </w:t>
            </w:r>
            <w:r>
              <w:rPr>
                <w:sz w:val="32"/>
                <w:szCs w:val="32"/>
              </w:rPr>
              <w:t>или</w:t>
            </w:r>
          </w:p>
          <w:p w14:paraId="3924CE6D">
            <w:pPr>
              <w:jc w:val="center"/>
              <w:rPr>
                <w:sz w:val="32"/>
                <w:szCs w:val="32"/>
              </w:rPr>
            </w:pPr>
            <w:r>
              <w:rPr>
                <w:b/>
                <w:i/>
                <w:sz w:val="32"/>
                <w:szCs w:val="32"/>
              </w:rPr>
              <w:sym w:font="Symbol" w:char="F072"/>
            </w:r>
            <w:r>
              <w:rPr>
                <w:b/>
                <w:sz w:val="32"/>
                <w:szCs w:val="32"/>
                <w:vertAlign w:val="subscript"/>
              </w:rPr>
              <w:t>П</w:t>
            </w:r>
            <w:r>
              <w:rPr>
                <w:sz w:val="32"/>
                <w:szCs w:val="32"/>
              </w:rPr>
              <w:t>, кг/м</w:t>
            </w:r>
            <w:r>
              <w:rPr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1056" w:type="dxa"/>
            <w:shd w:val="clear" w:color="auto" w:fill="EAF1DD"/>
            <w:vAlign w:val="center"/>
          </w:tcPr>
          <w:p w14:paraId="14AD5722">
            <w:pPr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</w:t>
            </w:r>
            <w:r>
              <w:rPr>
                <w:b/>
                <w:sz w:val="32"/>
                <w:szCs w:val="32"/>
                <w:vertAlign w:val="subscript"/>
              </w:rPr>
              <w:t>всп</w:t>
            </w:r>
            <w:r>
              <w:rPr>
                <w:sz w:val="32"/>
                <w:szCs w:val="32"/>
              </w:rPr>
              <w:t>,</w:t>
            </w:r>
            <w:r>
              <w:rPr>
                <w:b/>
                <w:sz w:val="32"/>
                <w:szCs w:val="32"/>
                <w:vertAlign w:val="subscript"/>
              </w:rPr>
              <w:t xml:space="preserve"> </w:t>
            </w:r>
            <w:r>
              <w:rPr>
                <w:sz w:val="32"/>
                <w:szCs w:val="32"/>
                <w:vertAlign w:val="superscript"/>
                <w:lang w:val="en-US"/>
              </w:rPr>
              <w:t>O</w:t>
            </w:r>
            <w:r>
              <w:rPr>
                <w:sz w:val="32"/>
                <w:szCs w:val="32"/>
              </w:rPr>
              <w:t>С</w:t>
            </w:r>
          </w:p>
        </w:tc>
        <w:tc>
          <w:tcPr>
            <w:tcW w:w="1581" w:type="dxa"/>
            <w:shd w:val="clear" w:color="auto" w:fill="EAF1DD"/>
            <w:vAlign w:val="center"/>
          </w:tcPr>
          <w:p w14:paraId="723E05B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Максимальное давление взрыва, </w:t>
            </w:r>
            <w:r>
              <w:rPr>
                <w:sz w:val="32"/>
                <w:szCs w:val="32"/>
                <w:lang w:val="en-US"/>
              </w:rPr>
              <w:t>Pmax</w:t>
            </w:r>
            <w:r>
              <w:rPr>
                <w:sz w:val="32"/>
                <w:szCs w:val="32"/>
              </w:rPr>
              <w:t>, кПа</w:t>
            </w:r>
          </w:p>
        </w:tc>
        <w:tc>
          <w:tcPr>
            <w:tcW w:w="2105" w:type="dxa"/>
            <w:shd w:val="clear" w:color="auto" w:fill="EAF1DD"/>
          </w:tcPr>
          <w:p w14:paraId="46F385C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Нижний концентрационный предел распространения, %</w:t>
            </w:r>
          </w:p>
        </w:tc>
        <w:tc>
          <w:tcPr>
            <w:tcW w:w="1056" w:type="dxa"/>
            <w:shd w:val="clear" w:color="auto" w:fill="EAF1DD"/>
          </w:tcPr>
          <w:p w14:paraId="3CFA5909">
            <w:pPr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en-US"/>
              </w:rPr>
              <w:t>P</w:t>
            </w:r>
            <w:r>
              <w:rPr>
                <w:b/>
                <w:sz w:val="32"/>
                <w:szCs w:val="32"/>
                <w:vertAlign w:val="subscript"/>
                <w:lang w:val="en-US"/>
              </w:rPr>
              <w:t>H</w:t>
            </w:r>
            <w:r>
              <w:rPr>
                <w:sz w:val="32"/>
                <w:szCs w:val="32"/>
              </w:rPr>
              <w:t>, кПа*</w:t>
            </w:r>
          </w:p>
        </w:tc>
      </w:tr>
      <w:tr w14:paraId="418C94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4" w:hRule="atLeast"/>
          <w:jc w:val="center"/>
        </w:trPr>
        <w:tc>
          <w:tcPr>
            <w:tcW w:w="1228" w:type="dxa"/>
            <w:shd w:val="clear" w:color="auto" w:fill="FDE9D9"/>
            <w:textDirection w:val="btLr"/>
            <w:vAlign w:val="center"/>
          </w:tcPr>
          <w:p w14:paraId="64B2542E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Ацетон</w:t>
            </w:r>
          </w:p>
        </w:tc>
        <w:tc>
          <w:tcPr>
            <w:tcW w:w="1583" w:type="dxa"/>
            <w:shd w:val="clear" w:color="auto" w:fill="E5DFEC"/>
            <w:textDirection w:val="btLr"/>
            <w:vAlign w:val="center"/>
          </w:tcPr>
          <w:p w14:paraId="1E9D2E68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(CH</w:t>
            </w:r>
            <w:r>
              <w:rPr>
                <w:sz w:val="32"/>
                <w:szCs w:val="32"/>
                <w:vertAlign w:val="subscript"/>
              </w:rPr>
              <w:t>3</w:t>
            </w:r>
            <w:r>
              <w:rPr>
                <w:sz w:val="32"/>
                <w:szCs w:val="32"/>
              </w:rPr>
              <w:t>)</w:t>
            </w:r>
            <w:r>
              <w:rPr>
                <w:sz w:val="32"/>
                <w:szCs w:val="32"/>
                <w:vertAlign w:val="subscript"/>
              </w:rPr>
              <w:t>2</w:t>
            </w:r>
            <w:r>
              <w:rPr>
                <w:sz w:val="32"/>
                <w:szCs w:val="32"/>
                <w:lang w:val="en-US"/>
              </w:rPr>
              <w:t>CO</w:t>
            </w:r>
          </w:p>
          <w:p w14:paraId="7F6C204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en-US"/>
              </w:rPr>
              <w:t>(58)</w:t>
            </w:r>
          </w:p>
        </w:tc>
        <w:tc>
          <w:tcPr>
            <w:tcW w:w="1056" w:type="dxa"/>
            <w:shd w:val="clear" w:color="auto" w:fill="E5DFEC"/>
            <w:textDirection w:val="btLr"/>
            <w:vAlign w:val="center"/>
          </w:tcPr>
          <w:p w14:paraId="6971804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2,44</w:t>
            </w:r>
          </w:p>
        </w:tc>
        <w:tc>
          <w:tcPr>
            <w:tcW w:w="1056" w:type="dxa"/>
            <w:shd w:val="clear" w:color="auto" w:fill="E5DFEC"/>
            <w:textDirection w:val="btLr"/>
            <w:vAlign w:val="center"/>
          </w:tcPr>
          <w:p w14:paraId="0D272DF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-19</w:t>
            </w:r>
          </w:p>
        </w:tc>
        <w:tc>
          <w:tcPr>
            <w:tcW w:w="1581" w:type="dxa"/>
            <w:shd w:val="clear" w:color="auto" w:fill="E5DFEC"/>
            <w:textDirection w:val="btLr"/>
            <w:vAlign w:val="center"/>
          </w:tcPr>
          <w:p w14:paraId="0825576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875</w:t>
            </w:r>
          </w:p>
        </w:tc>
        <w:tc>
          <w:tcPr>
            <w:tcW w:w="2105" w:type="dxa"/>
            <w:shd w:val="clear" w:color="auto" w:fill="E5DFEC"/>
            <w:textDirection w:val="btLr"/>
          </w:tcPr>
          <w:p w14:paraId="439644A7">
            <w:pPr>
              <w:ind w:left="113" w:right="113"/>
              <w:jc w:val="center"/>
              <w:rPr>
                <w:sz w:val="32"/>
                <w:szCs w:val="32"/>
              </w:rPr>
            </w:pPr>
          </w:p>
          <w:p w14:paraId="427DD86D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2,2</w:t>
            </w:r>
          </w:p>
        </w:tc>
        <w:tc>
          <w:tcPr>
            <w:tcW w:w="1056" w:type="dxa"/>
            <w:shd w:val="clear" w:color="auto" w:fill="E5DFEC"/>
            <w:textDirection w:val="btLr"/>
          </w:tcPr>
          <w:p w14:paraId="34AD6BCC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24,54</w:t>
            </w:r>
          </w:p>
        </w:tc>
      </w:tr>
      <w:tr w14:paraId="0F3EF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4" w:hRule="atLeast"/>
          <w:jc w:val="center"/>
        </w:trPr>
        <w:tc>
          <w:tcPr>
            <w:tcW w:w="1228" w:type="dxa"/>
            <w:shd w:val="clear" w:color="auto" w:fill="FDE9D9"/>
            <w:textDirection w:val="btLr"/>
            <w:vAlign w:val="center"/>
          </w:tcPr>
          <w:p w14:paraId="71177C28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Бензол</w:t>
            </w:r>
          </w:p>
        </w:tc>
        <w:tc>
          <w:tcPr>
            <w:tcW w:w="1583" w:type="dxa"/>
            <w:shd w:val="clear" w:color="auto" w:fill="E5DFEC"/>
            <w:textDirection w:val="btLr"/>
            <w:vAlign w:val="center"/>
          </w:tcPr>
          <w:p w14:paraId="63380DD9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</w:t>
            </w:r>
            <w:r>
              <w:rPr>
                <w:sz w:val="32"/>
                <w:szCs w:val="32"/>
                <w:vertAlign w:val="subscript"/>
              </w:rPr>
              <w:t>6</w:t>
            </w:r>
            <w:r>
              <w:rPr>
                <w:sz w:val="32"/>
                <w:szCs w:val="32"/>
                <w:lang w:val="en-US"/>
              </w:rPr>
              <w:t>H</w:t>
            </w:r>
            <w:r>
              <w:rPr>
                <w:sz w:val="32"/>
                <w:szCs w:val="32"/>
                <w:vertAlign w:val="subscript"/>
              </w:rPr>
              <w:t>6</w:t>
            </w:r>
            <w:r>
              <w:rPr>
                <w:sz w:val="32"/>
                <w:szCs w:val="32"/>
                <w:vertAlign w:val="subscript"/>
                <w:lang w:val="en-US"/>
              </w:rPr>
              <w:t xml:space="preserve">  </w:t>
            </w:r>
            <w:r>
              <w:rPr>
                <w:sz w:val="32"/>
                <w:szCs w:val="32"/>
                <w:lang w:val="en-US"/>
              </w:rPr>
              <w:t>(78)</w:t>
            </w:r>
          </w:p>
        </w:tc>
        <w:tc>
          <w:tcPr>
            <w:tcW w:w="1056" w:type="dxa"/>
            <w:shd w:val="clear" w:color="auto" w:fill="E5DFEC"/>
            <w:textDirection w:val="btLr"/>
            <w:vAlign w:val="center"/>
          </w:tcPr>
          <w:p w14:paraId="632D451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4,3</w:t>
            </w:r>
          </w:p>
        </w:tc>
        <w:tc>
          <w:tcPr>
            <w:tcW w:w="1056" w:type="dxa"/>
            <w:shd w:val="clear" w:color="auto" w:fill="E5DFEC"/>
            <w:textDirection w:val="btLr"/>
            <w:vAlign w:val="center"/>
          </w:tcPr>
          <w:p w14:paraId="1E5DB65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-11</w:t>
            </w:r>
          </w:p>
        </w:tc>
        <w:tc>
          <w:tcPr>
            <w:tcW w:w="1581" w:type="dxa"/>
            <w:shd w:val="clear" w:color="auto" w:fill="E5DFEC"/>
            <w:textDirection w:val="btLr"/>
            <w:vAlign w:val="center"/>
          </w:tcPr>
          <w:p w14:paraId="22E25F7B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900</w:t>
            </w:r>
          </w:p>
        </w:tc>
        <w:tc>
          <w:tcPr>
            <w:tcW w:w="2105" w:type="dxa"/>
            <w:shd w:val="clear" w:color="auto" w:fill="E5DFEC"/>
            <w:textDirection w:val="btLr"/>
          </w:tcPr>
          <w:p w14:paraId="5DF1EE6F">
            <w:pPr>
              <w:ind w:left="113" w:right="113"/>
              <w:jc w:val="center"/>
              <w:rPr>
                <w:sz w:val="32"/>
                <w:szCs w:val="32"/>
              </w:rPr>
            </w:pPr>
          </w:p>
          <w:p w14:paraId="761C1F1F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1,2</w:t>
            </w:r>
          </w:p>
        </w:tc>
        <w:tc>
          <w:tcPr>
            <w:tcW w:w="1056" w:type="dxa"/>
            <w:shd w:val="clear" w:color="auto" w:fill="E5DFEC"/>
            <w:textDirection w:val="btLr"/>
          </w:tcPr>
          <w:p w14:paraId="78CB267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16,03</w:t>
            </w:r>
          </w:p>
        </w:tc>
      </w:tr>
      <w:tr w14:paraId="5FED1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34" w:hRule="atLeast"/>
          <w:jc w:val="center"/>
        </w:trPr>
        <w:tc>
          <w:tcPr>
            <w:tcW w:w="1228" w:type="dxa"/>
            <w:shd w:val="clear" w:color="auto" w:fill="FDE9D9"/>
            <w:textDirection w:val="btLr"/>
            <w:vAlign w:val="center"/>
          </w:tcPr>
          <w:p w14:paraId="3B48001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Этанол</w:t>
            </w:r>
          </w:p>
        </w:tc>
        <w:tc>
          <w:tcPr>
            <w:tcW w:w="1583" w:type="dxa"/>
            <w:shd w:val="clear" w:color="auto" w:fill="E5DFEC"/>
            <w:textDirection w:val="btLr"/>
            <w:vAlign w:val="center"/>
          </w:tcPr>
          <w:p w14:paraId="58780C6F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CH</w:t>
            </w:r>
            <w:r>
              <w:rPr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sz w:val="32"/>
                <w:szCs w:val="32"/>
                <w:lang w:val="en-US"/>
              </w:rPr>
              <w:t>CH</w:t>
            </w:r>
            <w:r>
              <w:rPr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sz w:val="32"/>
                <w:szCs w:val="32"/>
                <w:lang w:val="en-US"/>
              </w:rPr>
              <w:t xml:space="preserve">OH </w:t>
            </w:r>
          </w:p>
          <w:p w14:paraId="20EEDAE2">
            <w:pPr>
              <w:ind w:left="113" w:right="113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(46)</w:t>
            </w:r>
          </w:p>
        </w:tc>
        <w:tc>
          <w:tcPr>
            <w:tcW w:w="1056" w:type="dxa"/>
            <w:shd w:val="clear" w:color="auto" w:fill="E5DFEC"/>
            <w:textDirection w:val="btLr"/>
            <w:vAlign w:val="center"/>
          </w:tcPr>
          <w:p w14:paraId="586731B7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val="en-US"/>
              </w:rPr>
              <w:t>1,94</w:t>
            </w:r>
          </w:p>
        </w:tc>
        <w:tc>
          <w:tcPr>
            <w:tcW w:w="1056" w:type="dxa"/>
            <w:shd w:val="clear" w:color="auto" w:fill="E5DFEC"/>
            <w:textDirection w:val="btLr"/>
            <w:vAlign w:val="center"/>
          </w:tcPr>
          <w:p w14:paraId="5C8757D0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1581" w:type="dxa"/>
            <w:shd w:val="clear" w:color="auto" w:fill="E5DFEC"/>
            <w:textDirection w:val="btLr"/>
            <w:vAlign w:val="center"/>
          </w:tcPr>
          <w:p w14:paraId="37866EE3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865</w:t>
            </w:r>
          </w:p>
        </w:tc>
        <w:tc>
          <w:tcPr>
            <w:tcW w:w="2105" w:type="dxa"/>
            <w:shd w:val="clear" w:color="auto" w:fill="E5DFEC"/>
            <w:textDirection w:val="btLr"/>
          </w:tcPr>
          <w:p w14:paraId="7708560C">
            <w:pPr>
              <w:ind w:left="113" w:right="113"/>
              <w:jc w:val="center"/>
              <w:rPr>
                <w:sz w:val="32"/>
                <w:szCs w:val="32"/>
              </w:rPr>
            </w:pPr>
          </w:p>
          <w:p w14:paraId="4F729011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3,1</w:t>
            </w:r>
          </w:p>
        </w:tc>
        <w:tc>
          <w:tcPr>
            <w:tcW w:w="1056" w:type="dxa"/>
            <w:shd w:val="clear" w:color="auto" w:fill="E5DFEC"/>
            <w:textDirection w:val="btLr"/>
          </w:tcPr>
          <w:p w14:paraId="3E0AF8E4">
            <w:pPr>
              <w:ind w:left="113" w:right="113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7,97</w:t>
            </w:r>
          </w:p>
        </w:tc>
      </w:tr>
      <w:tr w14:paraId="652FC5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" w:hRule="atLeast"/>
          <w:jc w:val="center"/>
        </w:trPr>
        <w:tc>
          <w:tcPr>
            <w:tcW w:w="9665" w:type="dxa"/>
            <w:gridSpan w:val="7"/>
            <w:shd w:val="clear" w:color="auto" w:fill="D9D9D9"/>
          </w:tcPr>
          <w:p w14:paraId="4EFD7AFF">
            <w:pPr>
              <w:ind w:left="36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* При температуре 25 </w:t>
            </w:r>
            <w:r>
              <w:rPr>
                <w:sz w:val="32"/>
                <w:szCs w:val="32"/>
                <w:vertAlign w:val="superscript"/>
              </w:rPr>
              <w:t>o</w:t>
            </w:r>
            <w:r>
              <w:rPr>
                <w:sz w:val="32"/>
                <w:szCs w:val="32"/>
              </w:rPr>
              <w:t xml:space="preserve">С    </w:t>
            </w:r>
            <w:r>
              <w:rPr>
                <w:sz w:val="32"/>
                <w:szCs w:val="32"/>
                <w:lang w:val="en-US"/>
              </w:rPr>
              <w:t>C</w:t>
            </w:r>
            <w:r>
              <w:rPr>
                <w:sz w:val="32"/>
                <w:szCs w:val="32"/>
              </w:rPr>
              <w:t>-12; Н-1; О-16.</w:t>
            </w:r>
          </w:p>
        </w:tc>
      </w:tr>
    </w:tbl>
    <w:p w14:paraId="34A888D4">
      <w:pPr>
        <w:shd w:val="clear" w:color="auto" w:fill="FFFFFF"/>
        <w:autoSpaceDE w:val="0"/>
        <w:autoSpaceDN w:val="0"/>
        <w:adjustRightInd w:val="0"/>
        <w:spacing w:line="360" w:lineRule="auto"/>
        <w:ind w:left="2832" w:firstLine="708"/>
        <w:rPr>
          <w:b/>
          <w:sz w:val="32"/>
          <w:szCs w:val="32"/>
        </w:rPr>
      </w:pPr>
    </w:p>
    <w:p w14:paraId="0B2B52B5">
      <w:pPr>
        <w:shd w:val="clear" w:color="auto" w:fill="FFFFFF"/>
        <w:autoSpaceDE w:val="0"/>
        <w:autoSpaceDN w:val="0"/>
        <w:adjustRightInd w:val="0"/>
        <w:spacing w:line="360" w:lineRule="auto"/>
        <w:ind w:left="2832" w:firstLine="708"/>
        <w:rPr>
          <w:b/>
          <w:sz w:val="32"/>
          <w:szCs w:val="32"/>
        </w:rPr>
      </w:pPr>
      <w:r>
        <w:rPr>
          <w:b/>
          <w:sz w:val="32"/>
          <w:szCs w:val="32"/>
        </w:rPr>
        <w:t>S</w:t>
      </w:r>
      <w:r>
        <w:rPr>
          <w:b/>
          <w:sz w:val="32"/>
          <w:szCs w:val="32"/>
          <w:vertAlign w:val="subscript"/>
        </w:rPr>
        <w:t>зд</w:t>
      </w:r>
      <w:r>
        <w:rPr>
          <w:b/>
          <w:sz w:val="32"/>
          <w:szCs w:val="32"/>
        </w:rPr>
        <w:t>=2000 м</w:t>
      </w:r>
      <w:r>
        <w:rPr>
          <w:b/>
          <w:sz w:val="32"/>
          <w:szCs w:val="32"/>
          <w:vertAlign w:val="superscript"/>
        </w:rPr>
        <w:t>2</w:t>
      </w:r>
    </w:p>
    <w:p w14:paraId="23E80EFC">
      <w:pPr>
        <w:shd w:val="clear" w:color="auto" w:fill="FFFFFF"/>
        <w:autoSpaceDE w:val="0"/>
        <w:autoSpaceDN w:val="0"/>
        <w:adjustRightInd w:val="0"/>
        <w:spacing w:line="360" w:lineRule="auto"/>
        <w:ind w:firstLine="708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Методика решения</w:t>
      </w:r>
    </w:p>
    <w:p w14:paraId="7E41C3B0">
      <w:pPr>
        <w:spacing w:line="360" w:lineRule="auto"/>
        <w:jc w:val="both"/>
        <w:rPr>
          <w:sz w:val="32"/>
          <w:szCs w:val="32"/>
        </w:rPr>
      </w:pPr>
      <w:r>
        <w:rPr>
          <w:bCs/>
          <w:sz w:val="32"/>
          <w:szCs w:val="32"/>
        </w:rPr>
        <w:t xml:space="preserve">1. Определить </w:t>
      </w:r>
      <w:r>
        <w:rPr>
          <w:b/>
          <w:bCs/>
          <w:sz w:val="32"/>
          <w:szCs w:val="32"/>
        </w:rPr>
        <w:t>возможность воспламенения и распространения пламени</w:t>
      </w:r>
      <w:r>
        <w:rPr>
          <w:bCs/>
          <w:sz w:val="32"/>
          <w:szCs w:val="32"/>
        </w:rPr>
        <w:t xml:space="preserve"> паровоздушной смеси ЛВЖ в помещении со свободным объемом </w:t>
      </w:r>
      <w:r>
        <w:rPr>
          <w:bCs/>
          <w:i/>
          <w:sz w:val="32"/>
          <w:szCs w:val="32"/>
          <w:lang w:val="en-US"/>
        </w:rPr>
        <w:t>V</w:t>
      </w:r>
      <w:r>
        <w:rPr>
          <w:bCs/>
          <w:i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от внешнего источника зажигания. Количество испарившегося ЛВЖ - </w:t>
      </w:r>
      <w:r>
        <w:rPr>
          <w:bCs/>
          <w:i/>
          <w:sz w:val="32"/>
          <w:szCs w:val="32"/>
          <w:lang w:val="en-US"/>
        </w:rPr>
        <w:t>G</w:t>
      </w:r>
      <w:r>
        <w:rPr>
          <w:bCs/>
          <w:i/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69EC5AE9">
      <w:pPr>
        <w:spacing w:line="360" w:lineRule="auto"/>
        <w:ind w:firstLine="709"/>
        <w:jc w:val="both"/>
        <w:rPr>
          <w:b/>
          <w:sz w:val="32"/>
          <w:szCs w:val="32"/>
        </w:rPr>
      </w:pPr>
      <w:r>
        <w:rPr>
          <w:sz w:val="32"/>
          <w:szCs w:val="32"/>
        </w:rPr>
        <w:t xml:space="preserve">При решении задачи по п.1 необходимо определить </w:t>
      </w:r>
      <w:r>
        <w:rPr>
          <w:b/>
          <w:sz w:val="32"/>
          <w:szCs w:val="32"/>
        </w:rPr>
        <w:t>процентную концентрацию паров ЛВЖ в воздухе С, %:</w:t>
      </w:r>
    </w:p>
    <w:p w14:paraId="5D7CABE6">
      <w:pPr>
        <w:spacing w:line="360" w:lineRule="auto"/>
        <w:jc w:val="center"/>
        <w:rPr>
          <w:sz w:val="32"/>
          <w:szCs w:val="32"/>
        </w:rPr>
      </w:pPr>
      <w:r>
        <w:rPr>
          <w:position w:val="-24"/>
          <w:sz w:val="32"/>
          <w:szCs w:val="32"/>
        </w:rPr>
        <w:object>
          <v:shape id="_x0000_i1036" o:spt="75" type="#_x0000_t75" style="height:36.6pt;width:82.2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3" ShapeID="_x0000_i1036" DrawAspect="Content" ObjectID="_1468075725" r:id="rId9">
            <o:LockedField>false</o:LockedField>
          </o:OLEObject>
        </w:object>
      </w:r>
      <w:r>
        <w:rPr>
          <w:sz w:val="32"/>
          <w:szCs w:val="32"/>
        </w:rPr>
        <w:t xml:space="preserve"> (13.1.)</w:t>
      </w:r>
    </w:p>
    <w:p w14:paraId="16A3F7D2">
      <w:pPr>
        <w:spacing w:line="360" w:lineRule="auto"/>
        <w:ind w:firstLine="360"/>
        <w:jc w:val="both"/>
        <w:rPr>
          <w:i/>
          <w:sz w:val="32"/>
          <w:szCs w:val="32"/>
        </w:rPr>
      </w:pPr>
      <w:r>
        <w:rPr>
          <w:sz w:val="32"/>
          <w:szCs w:val="32"/>
        </w:rPr>
        <w:t>где</w:t>
      </w:r>
      <w:r>
        <w:rPr>
          <w:i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V </w:t>
      </w:r>
      <w:r>
        <w:rPr>
          <w:sz w:val="32"/>
          <w:szCs w:val="32"/>
        </w:rPr>
        <w:t>- свободный объем помещения</w:t>
      </w:r>
    </w:p>
    <w:p w14:paraId="4FC8E22B">
      <w:pPr>
        <w:spacing w:line="360" w:lineRule="auto"/>
        <w:ind w:firstLine="36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V</w:t>
      </w:r>
      <w:r>
        <w:rPr>
          <w:b/>
          <w:sz w:val="32"/>
          <w:szCs w:val="32"/>
          <w:vertAlign w:val="subscript"/>
        </w:rPr>
        <w:t>П</w:t>
      </w:r>
      <w:r>
        <w:rPr>
          <w:b/>
          <w:sz w:val="32"/>
          <w:szCs w:val="32"/>
        </w:rPr>
        <w:t xml:space="preserve"> - объем паров ЛВЖ:</w:t>
      </w:r>
    </w:p>
    <w:p w14:paraId="67A23F2A">
      <w:pPr>
        <w:spacing w:line="360" w:lineRule="auto"/>
        <w:ind w:left="142"/>
        <w:jc w:val="center"/>
        <w:rPr>
          <w:sz w:val="32"/>
          <w:szCs w:val="32"/>
        </w:rPr>
      </w:pPr>
      <w:r>
        <w:rPr>
          <w:position w:val="-30"/>
          <w:sz w:val="32"/>
          <w:szCs w:val="32"/>
        </w:rPr>
        <w:object>
          <v:shape id="_x0000_i1037" o:spt="75" type="#_x0000_t75" style="height:53.4pt;width:71.4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37" DrawAspect="Content" ObjectID="_1468075726" r:id="rId11">
            <o:LockedField>false</o:LockedField>
          </o:OLEObject>
        </w:object>
      </w:r>
      <w:r>
        <w:rPr>
          <w:sz w:val="32"/>
          <w:szCs w:val="32"/>
        </w:rPr>
        <w:t xml:space="preserve">      (13.2.)</w:t>
      </w:r>
    </w:p>
    <w:p w14:paraId="251CD859">
      <w:pPr>
        <w:spacing w:line="360" w:lineRule="auto"/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>
        <w:rPr>
          <w:b/>
          <w:sz w:val="32"/>
          <w:szCs w:val="32"/>
        </w:rPr>
        <w:t>G</w:t>
      </w:r>
      <w:r>
        <w:rPr>
          <w:sz w:val="32"/>
          <w:szCs w:val="32"/>
        </w:rPr>
        <w:t xml:space="preserve"> - количество паров ЛВЖ, кг/м</w:t>
      </w:r>
      <w:r>
        <w:rPr>
          <w:sz w:val="32"/>
          <w:szCs w:val="32"/>
          <w:vertAlign w:val="superscript"/>
        </w:rPr>
        <w:t>3</w:t>
      </w:r>
      <w:r>
        <w:rPr>
          <w:sz w:val="32"/>
          <w:szCs w:val="32"/>
        </w:rPr>
        <w:t xml:space="preserve">, </w:t>
      </w:r>
    </w:p>
    <w:p w14:paraId="53DA5FB5">
      <w:pPr>
        <w:spacing w:line="360" w:lineRule="auto"/>
        <w:ind w:firstLine="360"/>
        <w:jc w:val="both"/>
        <w:rPr>
          <w:b/>
          <w:sz w:val="32"/>
          <w:szCs w:val="32"/>
        </w:rPr>
      </w:pPr>
      <w:r>
        <w:rPr>
          <w:b/>
          <w:i/>
          <w:sz w:val="32"/>
          <w:szCs w:val="32"/>
        </w:rPr>
        <w:sym w:font="Symbol" w:char="F072"/>
      </w:r>
      <w:r>
        <w:rPr>
          <w:b/>
          <w:sz w:val="32"/>
          <w:szCs w:val="32"/>
          <w:vertAlign w:val="subscript"/>
        </w:rPr>
        <w:t>П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- плотность паров ЛВЖ, кг/м</w:t>
      </w:r>
      <w:r>
        <w:rPr>
          <w:sz w:val="32"/>
          <w:szCs w:val="32"/>
          <w:vertAlign w:val="superscript"/>
        </w:rPr>
        <w:t>3</w:t>
      </w:r>
      <w:r>
        <w:rPr>
          <w:sz w:val="32"/>
          <w:szCs w:val="32"/>
        </w:rPr>
        <w:t>, берем из таблицы 13.3.</w:t>
      </w:r>
    </w:p>
    <w:p w14:paraId="073BBD6B">
      <w:pPr>
        <w:spacing w:line="360" w:lineRule="auto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Сравните полученное значение </w:t>
      </w:r>
      <w:r>
        <w:rPr>
          <w:b/>
          <w:sz w:val="32"/>
          <w:szCs w:val="32"/>
        </w:rPr>
        <w:t>C</w:t>
      </w:r>
      <w:r>
        <w:rPr>
          <w:sz w:val="32"/>
          <w:szCs w:val="32"/>
        </w:rPr>
        <w:t xml:space="preserve"> с нижним концентрационным пределом распространения пламени ЛВЖ (таблица 13.3.). Сделайте вывод о возможности воспламенения и распространения пламени паров ЛВЖ в данном помещении.</w:t>
      </w:r>
    </w:p>
    <w:p w14:paraId="5904D232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r>
        <w:rPr>
          <w:bCs/>
          <w:sz w:val="32"/>
          <w:szCs w:val="32"/>
        </w:rPr>
        <w:t xml:space="preserve">Определить, </w:t>
      </w:r>
      <w:r>
        <w:rPr>
          <w:b/>
          <w:bCs/>
          <w:sz w:val="32"/>
          <w:szCs w:val="32"/>
        </w:rPr>
        <w:t xml:space="preserve">относится ли помещение со свободным объемом </w:t>
      </w:r>
      <w:r>
        <w:rPr>
          <w:b/>
          <w:bCs/>
          <w:i/>
          <w:sz w:val="32"/>
          <w:szCs w:val="32"/>
          <w:lang w:val="en-US"/>
        </w:rPr>
        <w:t>V</w:t>
      </w:r>
      <w:r>
        <w:rPr>
          <w:b/>
          <w:bCs/>
          <w:sz w:val="32"/>
          <w:szCs w:val="32"/>
        </w:rPr>
        <w:t xml:space="preserve"> к категории А, </w:t>
      </w:r>
      <w:r>
        <w:rPr>
          <w:bCs/>
          <w:sz w:val="32"/>
          <w:szCs w:val="32"/>
        </w:rPr>
        <w:t xml:space="preserve">если в результате расчетной аварии произошел пролив ацетона в количестве </w:t>
      </w:r>
      <w:r>
        <w:rPr>
          <w:bCs/>
          <w:i/>
          <w:sz w:val="32"/>
          <w:szCs w:val="32"/>
        </w:rPr>
        <w:t xml:space="preserve">М </w:t>
      </w:r>
      <w:r>
        <w:rPr>
          <w:bCs/>
          <w:sz w:val="32"/>
          <w:szCs w:val="32"/>
        </w:rPr>
        <w:t>на пол и его полное испарение в течении 1 часа</w:t>
      </w:r>
      <w:r>
        <w:rPr>
          <w:b/>
          <w:bCs/>
          <w:sz w:val="32"/>
          <w:szCs w:val="32"/>
        </w:rPr>
        <w:t>.</w:t>
      </w:r>
    </w:p>
    <w:p w14:paraId="72294A07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Для решения п.2 задачи необходимо определить табличное значение температуры вспышки ЛВЖ (Твсп) (таблица 3) и рассчитать избыточное давление взрыва паровоздушной смеси ЛВЖ.</w:t>
      </w:r>
    </w:p>
    <w:p w14:paraId="1DA1814A">
      <w:pPr>
        <w:spacing w:line="360" w:lineRule="auto"/>
        <w:jc w:val="both"/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sz w:val="32"/>
          <w:szCs w:val="32"/>
        </w:rPr>
        <w:t>Избыточное давление взрыва кПа определяется по формуле:</w:t>
      </w:r>
    </w:p>
    <w:p w14:paraId="20B25BA7">
      <w:pPr>
        <w:spacing w:line="360" w:lineRule="auto"/>
        <w:jc w:val="center"/>
        <w:rPr>
          <w:sz w:val="32"/>
          <w:szCs w:val="32"/>
        </w:rPr>
      </w:pPr>
      <w:r>
        <w:rPr>
          <w:position w:val="-38"/>
          <w:sz w:val="32"/>
          <w:szCs w:val="32"/>
        </w:rPr>
        <w:object>
          <v:shape id="_x0000_i1038" o:spt="75" type="#_x0000_t75" style="height:44.4pt;width:264.6pt;" o:ole="t" fillcolor="#FFFFFF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3" ShapeID="_x0000_i1038" DrawAspect="Content" ObjectID="_1468075727" r:id="rId13">
            <o:LockedField>false</o:LockedField>
          </o:OLEObject>
        </w:object>
      </w:r>
      <w:r>
        <w:rPr>
          <w:sz w:val="32"/>
          <w:szCs w:val="32"/>
        </w:rPr>
        <w:t xml:space="preserve">    (13.3.)</w:t>
      </w:r>
    </w:p>
    <w:p w14:paraId="0728E612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>
        <w:rPr>
          <w:b/>
          <w:sz w:val="32"/>
          <w:szCs w:val="32"/>
          <w:lang w:val="en-US"/>
        </w:rPr>
        <w:t>P</w:t>
      </w:r>
      <w:r>
        <w:rPr>
          <w:b/>
          <w:sz w:val="32"/>
          <w:szCs w:val="32"/>
          <w:vertAlign w:val="subscript"/>
          <w:lang w:val="en-US"/>
        </w:rPr>
        <w:t>max</w:t>
      </w:r>
      <w:r>
        <w:rPr>
          <w:sz w:val="32"/>
          <w:szCs w:val="32"/>
        </w:rPr>
        <w:t xml:space="preserve">, - максимальное и начальное давление взрыва, кПа (таблица 13.3.). </w:t>
      </w:r>
      <w:r>
        <w:rPr>
          <w:b/>
          <w:sz w:val="32"/>
          <w:szCs w:val="32"/>
          <w:lang w:val="en-US"/>
        </w:rPr>
        <w:t>P</w:t>
      </w:r>
      <w:r>
        <w:rPr>
          <w:b/>
          <w:sz w:val="32"/>
          <w:szCs w:val="32"/>
          <w:vertAlign w:val="subscript"/>
        </w:rPr>
        <w:t>0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для всех вариантов принимается равным 101 кПа;</w:t>
      </w:r>
    </w:p>
    <w:p w14:paraId="7C66447A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t>V</w:t>
      </w:r>
      <w:r>
        <w:rPr>
          <w:b/>
          <w:sz w:val="32"/>
          <w:szCs w:val="32"/>
          <w:vertAlign w:val="subscript"/>
        </w:rPr>
        <w:t>св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- свободный объем помещения, м</w:t>
      </w:r>
      <w:r>
        <w:rPr>
          <w:sz w:val="32"/>
          <w:szCs w:val="32"/>
          <w:vertAlign w:val="superscript"/>
        </w:rPr>
        <w:t>3</w:t>
      </w:r>
      <w:r>
        <w:rPr>
          <w:sz w:val="32"/>
          <w:szCs w:val="32"/>
        </w:rPr>
        <w:t>;</w:t>
      </w:r>
    </w:p>
    <w:p w14:paraId="0F7F7B00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t>m</w:t>
      </w:r>
      <w:r>
        <w:rPr>
          <w:sz w:val="32"/>
          <w:szCs w:val="32"/>
        </w:rPr>
        <w:t xml:space="preserve"> - масса паров ЛВЖ см. формулу 4);</w:t>
      </w:r>
    </w:p>
    <w:p w14:paraId="7AC458C0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sym w:font="Symbol" w:char="F072"/>
      </w:r>
      <w:r>
        <w:rPr>
          <w:b/>
          <w:sz w:val="32"/>
          <w:szCs w:val="32"/>
          <w:vertAlign w:val="subscript"/>
        </w:rPr>
        <w:t>ЛВЖ</w:t>
      </w:r>
      <w:r>
        <w:rPr>
          <w:sz w:val="32"/>
          <w:szCs w:val="32"/>
        </w:rPr>
        <w:t xml:space="preserve"> - плотность паров ЛВЖ (таблица 13.3.);</w:t>
      </w:r>
    </w:p>
    <w:p w14:paraId="3E5F0E4E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t>К</w:t>
      </w:r>
      <w:r>
        <w:rPr>
          <w:b/>
          <w:sz w:val="32"/>
          <w:szCs w:val="32"/>
          <w:vertAlign w:val="subscript"/>
        </w:rPr>
        <w:t>Н</w:t>
      </w:r>
      <w:r>
        <w:rPr>
          <w:sz w:val="32"/>
          <w:szCs w:val="32"/>
        </w:rPr>
        <w:t xml:space="preserve"> - коэффициент, учитывающий не герметичность помещения;</w:t>
      </w:r>
    </w:p>
    <w:p w14:paraId="18B61ECC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t>Z</w:t>
      </w:r>
      <w:r>
        <w:rPr>
          <w:sz w:val="32"/>
          <w:szCs w:val="32"/>
        </w:rPr>
        <w:t xml:space="preserve"> - коэффициент участия горючего во взрыве (Z=0,3 для ЛВЖ);</w:t>
      </w:r>
    </w:p>
    <w:p w14:paraId="011FDDE8">
      <w:pPr>
        <w:spacing w:line="360" w:lineRule="auto"/>
        <w:ind w:left="142" w:firstLine="425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Масса паров ЛВЖ:</w:t>
      </w:r>
    </w:p>
    <w:p w14:paraId="3DA61B1C">
      <w:pPr>
        <w:spacing w:line="360" w:lineRule="auto"/>
        <w:jc w:val="center"/>
        <w:rPr>
          <w:sz w:val="32"/>
          <w:szCs w:val="32"/>
        </w:rPr>
      </w:pPr>
      <w:r>
        <w:rPr>
          <w:position w:val="-6"/>
          <w:sz w:val="32"/>
          <w:szCs w:val="32"/>
          <w:lang w:val="en-US"/>
        </w:rPr>
        <w:object>
          <v:shape id="_x0000_i1039" o:spt="75" type="#_x0000_t75" style="height:17.4pt;width:99.6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3" ShapeID="_x0000_i1039" DrawAspect="Content" ObjectID="_1468075728" r:id="rId15">
            <o:LockedField>false</o:LockedField>
          </o:OLEObject>
        </w:object>
      </w:r>
      <w:r>
        <w:rPr>
          <w:sz w:val="32"/>
          <w:szCs w:val="32"/>
        </w:rPr>
        <w:t xml:space="preserve">   (13.4.)</w:t>
      </w:r>
    </w:p>
    <w:p w14:paraId="10D4144E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>
        <w:rPr>
          <w:b/>
          <w:sz w:val="32"/>
          <w:szCs w:val="32"/>
          <w:lang w:val="en-US"/>
        </w:rPr>
        <w:t>F</w:t>
      </w:r>
      <w:r>
        <w:rPr>
          <w:sz w:val="32"/>
          <w:szCs w:val="32"/>
        </w:rPr>
        <w:t xml:space="preserve"> - площадь испарения ЛВЖ, м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</w:rPr>
        <w:t xml:space="preserve"> (принимается равной </w:t>
      </w:r>
      <w:r>
        <w:rPr>
          <w:sz w:val="32"/>
          <w:szCs w:val="32"/>
          <w:lang w:val="en-US"/>
        </w:rPr>
        <w:t>S</w:t>
      </w:r>
      <w:r>
        <w:rPr>
          <w:sz w:val="32"/>
          <w:szCs w:val="32"/>
          <w:vertAlign w:val="subscript"/>
          <w:lang w:val="en-US"/>
        </w:rPr>
        <w:t>A</w:t>
      </w:r>
      <w:r>
        <w:rPr>
          <w:sz w:val="32"/>
          <w:szCs w:val="32"/>
        </w:rPr>
        <w:t>);</w:t>
      </w:r>
    </w:p>
    <w:p w14:paraId="4CD9065D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  <w:lang w:val="en-US"/>
        </w:rPr>
        <w:t>t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- Время испарения, с;</w:t>
      </w:r>
    </w:p>
    <w:p w14:paraId="33EA5A1C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t>W</w:t>
      </w:r>
      <w:r>
        <w:rPr>
          <w:sz w:val="32"/>
          <w:szCs w:val="32"/>
        </w:rPr>
        <w:t xml:space="preserve"> - интенсивность испарения ЛВЖ, </w:t>
      </w:r>
      <m:oMath>
        <m:f>
          <m:fPr>
            <m:type m:val="lin"/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/>
              <w:rPr>
                <w:rFonts w:ascii="Cambria Math" w:hAnsi="Cambria Math"/>
                <w:sz w:val="32"/>
                <w:szCs w:val="32"/>
              </w:rPr>
              <m:t>кг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м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  <m:sup>
                <m:r>
                  <m:rPr/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up>
            </m:sSup>
            <m:r>
              <m:rPr/>
              <w:rPr>
                <w:rFonts w:ascii="Cambria Math" w:hAnsi="Cambria Math"/>
                <w:sz w:val="32"/>
                <w:szCs w:val="32"/>
              </w:rPr>
              <m:t>∙с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den>
        </m:f>
      </m:oMath>
      <w:r>
        <w:rPr>
          <w:sz w:val="32"/>
          <w:szCs w:val="32"/>
        </w:rPr>
        <w:t>;</w:t>
      </w:r>
    </w:p>
    <w:p w14:paraId="4508564B">
      <w:pPr>
        <w:spacing w:line="360" w:lineRule="auto"/>
        <w:jc w:val="center"/>
        <w:rPr>
          <w:sz w:val="32"/>
          <w:szCs w:val="32"/>
        </w:rPr>
      </w:pPr>
      <w:r>
        <w:rPr>
          <w:position w:val="-10"/>
          <w:sz w:val="32"/>
          <w:szCs w:val="32"/>
        </w:rPr>
        <w:object>
          <v:shape id="_x0000_i1040" o:spt="75" type="#_x0000_t75" style="height:23.4pt;width:154.2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3" ShapeID="_x0000_i1040" DrawAspect="Content" ObjectID="_1468075729" r:id="rId17">
            <o:LockedField>false</o:LockedField>
          </o:OLEObject>
        </w:object>
      </w:r>
      <w:r>
        <w:rPr>
          <w:sz w:val="32"/>
          <w:szCs w:val="32"/>
        </w:rPr>
        <w:t xml:space="preserve">  (13.5.)</w:t>
      </w:r>
    </w:p>
    <w:p w14:paraId="44826957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sz w:val="32"/>
          <w:szCs w:val="32"/>
        </w:rPr>
        <w:t>где η - коэффицтент, учитывающий влияние скорости и температуры воздушного потока над поверхностью испарения.</w:t>
      </w:r>
    </w:p>
    <w:p w14:paraId="656695C1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</w:rPr>
        <w:t>Р</w:t>
      </w:r>
      <w:r>
        <w:rPr>
          <w:b/>
          <w:sz w:val="32"/>
          <w:szCs w:val="32"/>
          <w:vertAlign w:val="subscript"/>
        </w:rPr>
        <w:t>Н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-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давление насыщенных паров, кПа (таблица 13.3.);</w:t>
      </w:r>
    </w:p>
    <w:p w14:paraId="03F1FF13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b/>
          <w:sz w:val="32"/>
          <w:szCs w:val="32"/>
          <w:lang w:val="en-US"/>
        </w:rPr>
        <w:t>M</w:t>
      </w:r>
      <w:r>
        <w:rPr>
          <w:sz w:val="32"/>
          <w:szCs w:val="32"/>
        </w:rPr>
        <w:t xml:space="preserve"> - молярная масса ЛВЖ (таблица 3);</w:t>
      </w:r>
    </w:p>
    <w:p w14:paraId="2C74BAD9">
      <w:pPr>
        <w:spacing w:line="360" w:lineRule="auto"/>
        <w:ind w:left="142" w:firstLine="425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Реальная концентрация паров ЛВЖ:</w:t>
      </w:r>
    </w:p>
    <w:p w14:paraId="7DBB05AF">
      <w:pPr>
        <w:spacing w:line="360" w:lineRule="auto"/>
        <w:jc w:val="center"/>
        <w:rPr>
          <w:sz w:val="32"/>
          <w:szCs w:val="32"/>
        </w:rPr>
      </w:pPr>
      <w:r>
        <w:rPr>
          <w:position w:val="-56"/>
          <w:sz w:val="32"/>
          <w:szCs w:val="32"/>
          <w:lang w:val="en-US"/>
        </w:rPr>
        <w:object>
          <v:shape id="_x0000_i1041" o:spt="75" type="#_x0000_t75" style="height:46.2pt;width:152.4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41" DrawAspect="Content" ObjectID="_1468075730" r:id="rId19">
            <o:LockedField>false</o:LockedField>
          </o:OLEObject>
        </w:object>
      </w:r>
      <w:r>
        <w:rPr>
          <w:sz w:val="32"/>
          <w:szCs w:val="32"/>
        </w:rPr>
        <w:t xml:space="preserve">   (13.6.)</w:t>
      </w:r>
    </w:p>
    <w:p w14:paraId="6B0E1F04">
      <w:pPr>
        <w:spacing w:line="360" w:lineRule="auto"/>
        <w:ind w:left="142" w:firstLine="425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>
        <w:rPr>
          <w:b/>
          <w:sz w:val="32"/>
          <w:szCs w:val="32"/>
          <w:lang w:val="en-US"/>
        </w:rPr>
        <w:t>n</w:t>
      </w:r>
      <w:r>
        <w:rPr>
          <w:b/>
          <w:sz w:val="32"/>
          <w:szCs w:val="32"/>
          <w:vertAlign w:val="subscript"/>
        </w:rPr>
        <w:t>С</w:t>
      </w:r>
      <w:r>
        <w:rPr>
          <w:sz w:val="32"/>
          <w:szCs w:val="32"/>
        </w:rPr>
        <w:t xml:space="preserve">, </w:t>
      </w:r>
      <w:r>
        <w:rPr>
          <w:b/>
          <w:sz w:val="32"/>
          <w:szCs w:val="32"/>
          <w:lang w:val="en-US"/>
        </w:rPr>
        <w:t>n</w:t>
      </w:r>
      <w:r>
        <w:rPr>
          <w:b/>
          <w:sz w:val="32"/>
          <w:szCs w:val="32"/>
          <w:vertAlign w:val="subscript"/>
          <w:lang w:val="en-US"/>
        </w:rPr>
        <w:t>H</w:t>
      </w:r>
      <w:r>
        <w:rPr>
          <w:sz w:val="32"/>
          <w:szCs w:val="32"/>
        </w:rPr>
        <w:t xml:space="preserve">, </w:t>
      </w:r>
      <w:r>
        <w:rPr>
          <w:b/>
          <w:sz w:val="32"/>
          <w:szCs w:val="32"/>
          <w:lang w:val="en-US"/>
        </w:rPr>
        <w:t>n</w:t>
      </w:r>
      <w:r>
        <w:rPr>
          <w:b/>
          <w:sz w:val="32"/>
          <w:szCs w:val="32"/>
          <w:vertAlign w:val="subscript"/>
          <w:lang w:val="en-US"/>
        </w:rPr>
        <w:t>O</w:t>
      </w:r>
      <w:r>
        <w:rPr>
          <w:sz w:val="32"/>
          <w:szCs w:val="32"/>
        </w:rPr>
        <w:t xml:space="preserve"> - соответственно, число атомов углерода, водорода и кислорода в формуле ЛВЖ (таблица 3).</w:t>
      </w:r>
    </w:p>
    <w:p w14:paraId="0DF17D98">
      <w:pPr>
        <w:spacing w:line="360" w:lineRule="auto"/>
        <w:ind w:firstLine="426"/>
        <w:jc w:val="both"/>
        <w:rPr>
          <w:sz w:val="32"/>
          <w:szCs w:val="32"/>
        </w:rPr>
      </w:pPr>
      <w:r>
        <w:rPr>
          <w:b/>
          <w:sz w:val="32"/>
          <w:szCs w:val="32"/>
        </w:rPr>
        <w:t>3.</w:t>
      </w:r>
      <w:r>
        <w:rPr>
          <w:sz w:val="32"/>
          <w:szCs w:val="32"/>
        </w:rPr>
        <w:t xml:space="preserve"> Величина удельной пожарной нагрузки определяется по формуле:</w:t>
      </w:r>
    </w:p>
    <w:p w14:paraId="74F5B2D5">
      <w:pPr>
        <w:spacing w:line="360" w:lineRule="auto"/>
        <w:jc w:val="center"/>
        <w:rPr>
          <w:sz w:val="32"/>
          <w:szCs w:val="32"/>
        </w:rPr>
      </w:pPr>
      <w:r>
        <w:rPr>
          <w:position w:val="-24"/>
          <w:sz w:val="32"/>
          <w:szCs w:val="32"/>
          <w:lang w:val="en-US"/>
        </w:rPr>
        <w:object>
          <v:shape id="_x0000_i1042" o:spt="75" type="#_x0000_t75" style="height:42pt;width:111.6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42" DrawAspect="Content" ObjectID="_1468075731" r:id="rId21">
            <o:LockedField>false</o:LockedField>
          </o:OLEObject>
        </w:object>
      </w:r>
      <w:r>
        <w:rPr>
          <w:sz w:val="32"/>
          <w:szCs w:val="32"/>
        </w:rPr>
        <w:t xml:space="preserve">    (13.7.)</w:t>
      </w:r>
    </w:p>
    <w:p w14:paraId="3E173AFF">
      <w:pPr>
        <w:spacing w:line="360" w:lineRule="auto"/>
        <w:ind w:firstLine="426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где </w:t>
      </w:r>
      <w:r>
        <w:rPr>
          <w:b/>
          <w:sz w:val="32"/>
          <w:szCs w:val="32"/>
          <w:lang w:val="en-US"/>
        </w:rPr>
        <w:t>G</w:t>
      </w:r>
      <w:r>
        <w:rPr>
          <w:b/>
          <w:sz w:val="32"/>
          <w:szCs w:val="32"/>
          <w:vertAlign w:val="subscript"/>
          <w:lang w:val="en-US"/>
        </w:rPr>
        <w:t>i</w:t>
      </w:r>
      <w:r>
        <w:rPr>
          <w:sz w:val="32"/>
          <w:szCs w:val="32"/>
        </w:rPr>
        <w:t xml:space="preserve"> - количество i-го материала = 2;</w:t>
      </w:r>
    </w:p>
    <w:p w14:paraId="63F327C2">
      <w:pPr>
        <w:spacing w:line="360" w:lineRule="auto"/>
        <w:ind w:firstLine="426"/>
        <w:jc w:val="both"/>
        <w:rPr>
          <w:sz w:val="32"/>
          <w:szCs w:val="32"/>
        </w:rPr>
      </w:pPr>
      <w:r>
        <w:rPr>
          <w:b/>
          <w:sz w:val="32"/>
          <w:szCs w:val="32"/>
          <w:lang w:val="en-US"/>
        </w:rPr>
        <w:t>Q</w:t>
      </w:r>
      <w:r>
        <w:rPr>
          <w:b/>
          <w:sz w:val="32"/>
          <w:szCs w:val="32"/>
          <w:vertAlign w:val="subscript"/>
          <w:lang w:val="en-US"/>
        </w:rPr>
        <w:t>i</w:t>
      </w:r>
      <w:r>
        <w:rPr>
          <w:sz w:val="32"/>
          <w:szCs w:val="32"/>
        </w:rPr>
        <w:t xml:space="preserve"> - наименьшая теплота сгорания i-го материала (</w:t>
      </w:r>
      <w:r>
        <w:rPr>
          <w:b/>
          <w:sz w:val="32"/>
          <w:szCs w:val="32"/>
        </w:rPr>
        <w:t>Q</w:t>
      </w:r>
      <w:r>
        <w:rPr>
          <w:b/>
          <w:sz w:val="32"/>
          <w:szCs w:val="32"/>
          <w:vertAlign w:val="subscript"/>
        </w:rPr>
        <w:t xml:space="preserve">сосны </w:t>
      </w:r>
      <w:r>
        <w:rPr>
          <w:sz w:val="32"/>
          <w:szCs w:val="32"/>
        </w:rPr>
        <w:t xml:space="preserve">- 13,86 Мдж/кг , </w:t>
      </w:r>
      <w:r>
        <w:rPr>
          <w:b/>
          <w:sz w:val="32"/>
          <w:szCs w:val="32"/>
        </w:rPr>
        <w:t>Q</w:t>
      </w:r>
      <w:r>
        <w:rPr>
          <w:b/>
          <w:sz w:val="32"/>
          <w:szCs w:val="32"/>
          <w:vertAlign w:val="subscript"/>
        </w:rPr>
        <w:t>древ.плит</w:t>
      </w:r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- 17,2 Мдж/кг);</w:t>
      </w:r>
    </w:p>
    <w:p w14:paraId="61CDB0F2">
      <w:pPr>
        <w:spacing w:line="360" w:lineRule="auto"/>
        <w:ind w:firstLine="426"/>
        <w:jc w:val="both"/>
        <w:rPr>
          <w:sz w:val="32"/>
          <w:szCs w:val="32"/>
        </w:rPr>
      </w:pPr>
      <w:r>
        <w:rPr>
          <w:b/>
          <w:sz w:val="32"/>
          <w:szCs w:val="32"/>
          <w:lang w:val="en-US"/>
        </w:rPr>
        <w:t>n</w:t>
      </w:r>
      <w:r>
        <w:rPr>
          <w:sz w:val="32"/>
          <w:szCs w:val="32"/>
        </w:rPr>
        <w:t>- количество видов материала = 2.</w:t>
      </w:r>
    </w:p>
    <w:p w14:paraId="50171C9B">
      <w:pPr>
        <w:spacing w:line="360" w:lineRule="auto"/>
        <w:ind w:firstLine="426"/>
        <w:jc w:val="both"/>
        <w:rPr>
          <w:sz w:val="32"/>
          <w:szCs w:val="32"/>
        </w:rPr>
      </w:pPr>
      <w:r>
        <w:rPr>
          <w:b/>
          <w:sz w:val="32"/>
          <w:szCs w:val="32"/>
          <w:lang w:val="en-US"/>
        </w:rPr>
        <w:t>S</w:t>
      </w:r>
      <w:r>
        <w:rPr>
          <w:sz w:val="32"/>
          <w:szCs w:val="32"/>
        </w:rPr>
        <w:t xml:space="preserve"> - площадь помещения пожарной нагрузки;</w:t>
      </w:r>
    </w:p>
    <w:p w14:paraId="3F4432AD">
      <w:pPr>
        <w:spacing w:line="360" w:lineRule="auto"/>
        <w:ind w:left="284" w:firstLine="426"/>
        <w:jc w:val="both"/>
        <w:rPr>
          <w:b/>
          <w:sz w:val="32"/>
          <w:szCs w:val="32"/>
        </w:rPr>
      </w:pPr>
      <w:r>
        <w:rPr>
          <w:sz w:val="32"/>
          <w:szCs w:val="32"/>
        </w:rPr>
        <w:t xml:space="preserve"> 4. Определить процентное соотношение площади </w:t>
      </w:r>
      <w:r>
        <w:rPr>
          <w:b/>
          <w:sz w:val="32"/>
          <w:szCs w:val="32"/>
          <w:lang w:val="en-US"/>
        </w:rPr>
        <w:t>S</w:t>
      </w:r>
      <w:r>
        <w:rPr>
          <w:b/>
          <w:sz w:val="32"/>
          <w:szCs w:val="32"/>
          <w:vertAlign w:val="subscript"/>
          <w:lang w:val="en-US"/>
        </w:rPr>
        <w:t>A</w:t>
      </w:r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категории А к общей площади здания по выражению:</w:t>
      </w:r>
    </w:p>
    <w:p w14:paraId="2F31A6EB">
      <w:pPr>
        <w:spacing w:line="360" w:lineRule="auto"/>
        <w:jc w:val="center"/>
        <w:rPr>
          <w:sz w:val="32"/>
          <w:szCs w:val="32"/>
        </w:rPr>
      </w:pPr>
      <w:r>
        <w:rPr>
          <w:bCs/>
          <w:position w:val="-24"/>
          <w:sz w:val="32"/>
          <w:szCs w:val="32"/>
        </w:rPr>
        <w:object>
          <v:shape id="_x0000_i1043" o:spt="75" type="#_x0000_t75" style="height:45.6pt;width:120.6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3" ShapeID="_x0000_i1043" DrawAspect="Content" ObjectID="_1468075732" r:id="rId23">
            <o:LockedField>false</o:LockedField>
          </o:OLEObject>
        </w:object>
      </w:r>
      <w:r>
        <w:rPr>
          <w:bCs/>
          <w:sz w:val="32"/>
          <w:szCs w:val="32"/>
        </w:rPr>
        <w:t xml:space="preserve">   (13.8.)</w:t>
      </w:r>
    </w:p>
    <w:p w14:paraId="10C2F101">
      <w:pPr>
        <w:spacing w:line="360" w:lineRule="auto"/>
        <w:ind w:firstLine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Определить площадь помещений, </w:t>
      </w:r>
      <w:r>
        <w:rPr>
          <w:b/>
          <w:sz w:val="32"/>
          <w:szCs w:val="32"/>
        </w:rPr>
        <w:t>не относящихся к категории А:</w:t>
      </w:r>
    </w:p>
    <w:p w14:paraId="70538E00">
      <w:pPr>
        <w:spacing w:line="360" w:lineRule="auto"/>
        <w:jc w:val="center"/>
        <w:rPr>
          <w:sz w:val="32"/>
          <w:szCs w:val="32"/>
        </w:rPr>
      </w:pPr>
      <w:r>
        <w:rPr>
          <w:bCs/>
          <w:color w:val="000000"/>
          <w:position w:val="-10"/>
          <w:sz w:val="32"/>
          <w:szCs w:val="32"/>
          <w:lang w:val="en-US"/>
        </w:rPr>
        <w:object>
          <v:shape id="_x0000_i1044" o:spt="75" type="#_x0000_t75" style="height:23.4pt;width:10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3" ShapeID="_x0000_i1044" DrawAspect="Content" ObjectID="_1468075733" r:id="rId25">
            <o:LockedField>false</o:LockedField>
          </o:OLEObject>
        </w:object>
      </w:r>
      <w:r>
        <w:rPr>
          <w:bCs/>
          <w:color w:val="000000"/>
          <w:sz w:val="32"/>
          <w:szCs w:val="32"/>
        </w:rPr>
        <w:t xml:space="preserve">   (13.9.)</w:t>
      </w:r>
    </w:p>
    <w:p w14:paraId="6909B8DA">
      <w:pPr>
        <w:spacing w:line="360" w:lineRule="auto"/>
        <w:ind w:firstLine="284"/>
        <w:jc w:val="both"/>
        <w:rPr>
          <w:bCs/>
          <w:color w:val="000000"/>
          <w:sz w:val="32"/>
          <w:szCs w:val="32"/>
        </w:rPr>
      </w:pPr>
      <w:r>
        <w:rPr>
          <w:sz w:val="32"/>
          <w:szCs w:val="32"/>
        </w:rPr>
        <w:t xml:space="preserve">Площадь помещений, </w:t>
      </w:r>
      <w:r>
        <w:rPr>
          <w:b/>
          <w:sz w:val="32"/>
          <w:szCs w:val="32"/>
        </w:rPr>
        <w:t>относящихся к категории Б</w:t>
      </w:r>
      <w:r>
        <w:rPr>
          <w:sz w:val="32"/>
          <w:szCs w:val="32"/>
        </w:rPr>
        <w:t xml:space="preserve"> можно определить из пропорции:</w:t>
      </w:r>
      <w:r>
        <w:rPr>
          <w:bCs/>
          <w:color w:val="000000"/>
          <w:sz w:val="32"/>
          <w:szCs w:val="32"/>
        </w:rPr>
        <w:t xml:space="preserve"> </w:t>
      </w:r>
    </w:p>
    <w:p w14:paraId="14A7B2A5">
      <w:pPr>
        <w:spacing w:line="360" w:lineRule="auto"/>
        <w:jc w:val="center"/>
        <w:rPr>
          <w:sz w:val="32"/>
          <w:szCs w:val="32"/>
        </w:rPr>
      </w:pPr>
      <w:r>
        <w:rPr>
          <w:bCs/>
          <w:color w:val="000000"/>
          <w:position w:val="-28"/>
          <w:sz w:val="32"/>
          <w:szCs w:val="32"/>
        </w:rPr>
        <w:object>
          <v:shape id="_x0000_i1045" o:spt="75" type="#_x0000_t75" style="height:52.2pt;width:102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3" ShapeID="_x0000_i1045" DrawAspect="Content" ObjectID="_1468075734" r:id="rId27">
            <o:LockedField>false</o:LockedField>
          </o:OLEObject>
        </w:object>
      </w:r>
      <w:r>
        <w:rPr>
          <w:bCs/>
          <w:color w:val="000000"/>
          <w:sz w:val="32"/>
          <w:szCs w:val="32"/>
        </w:rPr>
        <w:t xml:space="preserve">    (13.10.)</w:t>
      </w:r>
    </w:p>
    <w:p w14:paraId="3002161B">
      <w:pPr>
        <w:spacing w:line="360" w:lineRule="auto"/>
        <w:ind w:firstLine="284"/>
        <w:jc w:val="both"/>
        <w:rPr>
          <w:sz w:val="32"/>
          <w:szCs w:val="32"/>
        </w:rPr>
      </w:pPr>
      <w:r>
        <w:rPr>
          <w:sz w:val="32"/>
          <w:szCs w:val="32"/>
        </w:rPr>
        <w:t>Наконец необходимо определить процентное соотношение помещений с категориями А и Б к общей площади здания:</w:t>
      </w:r>
    </w:p>
    <w:p w14:paraId="291A40D2">
      <w:pPr>
        <w:spacing w:line="360" w:lineRule="auto"/>
        <w:jc w:val="center"/>
        <w:rPr>
          <w:sz w:val="32"/>
          <w:szCs w:val="32"/>
        </w:rPr>
      </w:pPr>
      <w:r>
        <w:rPr>
          <w:position w:val="-32"/>
          <w:sz w:val="32"/>
          <w:szCs w:val="32"/>
        </w:rPr>
        <w:object>
          <v:shape id="_x0000_i1046" o:spt="75" type="#_x0000_t75" style="height:45.6pt;width:103.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3" ShapeID="_x0000_i1046" DrawAspect="Content" ObjectID="_1468075735" r:id="rId29">
            <o:LockedField>false</o:LockedField>
          </o:OLEObject>
        </w:object>
      </w:r>
      <w:r>
        <w:rPr>
          <w:sz w:val="32"/>
          <w:szCs w:val="32"/>
        </w:rPr>
        <w:t xml:space="preserve">   (13.11.)</w:t>
      </w:r>
    </w:p>
    <w:p w14:paraId="31198983">
      <w:pPr>
        <w:spacing w:line="360" w:lineRule="auto"/>
        <w:ind w:firstLine="284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Далее определить категорию пожарной опасности здания. </w:t>
      </w:r>
    </w:p>
    <w:p w14:paraId="044629E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drawing>
          <wp:inline distT="0" distB="0" distL="0" distR="0">
            <wp:extent cx="5939790" cy="2900680"/>
            <wp:effectExtent l="0" t="0" r="3810" b="10160"/>
            <wp:docPr id="180" name="Рисунок 180" descr="Автоматическая установка пожароту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Рисунок 180" descr="Автоматическая установка пожаротуше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E7FB">
      <w:pPr>
        <w:tabs>
          <w:tab w:val="left" w:pos="1911"/>
          <w:tab w:val="center" w:pos="4677"/>
        </w:tabs>
        <w:spacing w:line="360" w:lineRule="auto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>Рисунок 13.3. Автоматическая установка пожаротушения</w:t>
      </w:r>
    </w:p>
    <w:p w14:paraId="371E76D5">
      <w:pPr>
        <w:spacing w:line="360" w:lineRule="auto"/>
        <w:jc w:val="center"/>
        <w:rPr>
          <w:b/>
          <w:sz w:val="32"/>
          <w:szCs w:val="32"/>
        </w:rPr>
      </w:pPr>
    </w:p>
    <w:p w14:paraId="61242D5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Категории зданий по взрывопожарной и пожарной опасности</w:t>
      </w:r>
    </w:p>
    <w:p w14:paraId="198F927F">
      <w:pPr>
        <w:spacing w:line="360" w:lineRule="auto"/>
        <w:ind w:firstLine="709"/>
        <w:jc w:val="both"/>
        <w:rPr>
          <w:b/>
          <w:sz w:val="32"/>
          <w:szCs w:val="32"/>
        </w:rPr>
      </w:pPr>
      <w:r>
        <w:rPr>
          <w:rFonts w:ascii="symbol³&lt;/FONT" w:hAnsi="symbol³&lt;/FONT"/>
          <w:sz w:val="32"/>
          <w:szCs w:val="32"/>
        </w:rPr>
        <w:t>С целью профилактики все здания и сооружения делятся на несколько категори</w:t>
      </w:r>
      <w:r>
        <w:rPr>
          <w:sz w:val="32"/>
          <w:szCs w:val="32"/>
        </w:rPr>
        <w:t>й</w:t>
      </w:r>
      <w:r>
        <w:rPr>
          <w:rFonts w:ascii="symbol³&lt;/FONT" w:hAnsi="symbol³&lt;/FONT"/>
          <w:sz w:val="32"/>
          <w:szCs w:val="32"/>
        </w:rPr>
        <w:t>: А, Б, В, Г, Д, Е.</w:t>
      </w:r>
    </w:p>
    <w:p w14:paraId="1B1D6841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4.1. Здание относится к категории А, если в нем суммарная площадь помещений категории А превышает 5 % площади всех помещений или 200 м2.</w:t>
      </w:r>
    </w:p>
    <w:p w14:paraId="4A83246B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Допускается не относить здание к категории А, если суммарная площадь помещений категории А в здании не превышает 25 % суммарной площади всех размещенных в нем помещений (но не более 1000 м2), и эти помещения оборудуются установками автоматического пожаротушения.</w:t>
      </w:r>
    </w:p>
    <w:p w14:paraId="1BEFB062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4.2. Здание относится к категории Б, если одновременно выполнены два условия: </w:t>
      </w:r>
    </w:p>
    <w:p w14:paraId="26F4F56D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здание не относится к категории А;</w:t>
      </w:r>
    </w:p>
    <w:p w14:paraId="4DAD0C85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суммарная площадь помещений категорий А и Б превышает 5 % суммарной площади всех помещений или 200 м2.</w:t>
      </w:r>
    </w:p>
    <w:p w14:paraId="44FF83D4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Допускается не относить здание к категории Б, если суммарная площадь помещений категорий А и Б в здании не превышает 25 % суммарной площади всех размещенных в нем помещений (но не более 1000 м2) и эти помещения оборудуются установками автоматического пожаротушения.</w:t>
      </w:r>
    </w:p>
    <w:p w14:paraId="2EE1EEEE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4.3. Здание относится к категории В, если одновременно выполнены два условия: </w:t>
      </w:r>
    </w:p>
    <w:p w14:paraId="7DA7FF9B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здание не относится к категориям А или Б; </w:t>
      </w:r>
    </w:p>
    <w:p w14:paraId="4053E0F5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суммарная площадь помещений категорий А, Б и В превышает 5 % (10%, если в здании отсутствуют помещения категорий А и Б) суммарной площади всех помещений.</w:t>
      </w:r>
    </w:p>
    <w:p w14:paraId="592768F4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Допускается не относить здание к категории В, если суммарная площадь помещений категорий А, Б и В в здании не превышает 25 % суммарной площади всех размещенных в нем помещений (но не более 3500 м2) и эти помещения оборудуются установками автоматического пожаротушения.</w:t>
      </w:r>
    </w:p>
    <w:p w14:paraId="66F4CADB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4.4. Здание относится к категории Г, если одновременно выполнены два условия:</w:t>
      </w:r>
    </w:p>
    <w:p w14:paraId="69AD5FDF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здание не относится к категориям А, Б или В; </w:t>
      </w:r>
    </w:p>
    <w:p w14:paraId="31E5FCA9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суммарная площадь помещений категорий А, Б, В и Г превышает 5 % суммарной площади всех помещений.</w:t>
      </w:r>
    </w:p>
    <w:p w14:paraId="11FB4B35">
      <w:pPr>
        <w:spacing w:line="360" w:lineRule="auto"/>
        <w:ind w:firstLine="720"/>
        <w:jc w:val="both"/>
        <w:rPr>
          <w:sz w:val="32"/>
          <w:szCs w:val="32"/>
        </w:rPr>
      </w:pPr>
      <w:r>
        <w:rPr>
          <w:sz w:val="32"/>
          <w:szCs w:val="32"/>
        </w:rPr>
        <w:t>Допускается не относить знание к категории Г, если суммарная площадь помещений категорий А, Б, В и Г в здании не превышает 25 % суммарной площади всех размещенных в нем помещений (но не более 5000 м2) и помещения категорий А, Б, В оборудуются установками пожаротушения.</w:t>
      </w:r>
    </w:p>
    <w:p w14:paraId="27E2AEBB">
      <w:pPr>
        <w:tabs>
          <w:tab w:val="left" w:pos="-180"/>
        </w:tabs>
        <w:spacing w:line="360" w:lineRule="auto"/>
        <w:contextualSpacing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  <w:lang w:val="uz-Cyrl-UZ"/>
        </w:rPr>
        <w:t>з</w:t>
      </w:r>
      <w:r>
        <w:rPr>
          <w:sz w:val="32"/>
          <w:szCs w:val="32"/>
        </w:rPr>
        <w:t>дание относится к категории Д, если оно не относится к категориям А, Б, В или Г.</w:t>
      </w:r>
    </w:p>
    <w:p w14:paraId="79507A9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drawing>
          <wp:inline distT="0" distB="0" distL="0" distR="0">
            <wp:extent cx="5938520" cy="2748280"/>
            <wp:effectExtent l="0" t="0" r="5080" b="10160"/>
            <wp:docPr id="181" name="Рисунок 181" descr="Автоматизированные Системы Пожаротушения и Дымоудаления - SCADA Data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Рисунок 181" descr="Автоматизированные Системы Пожаротушения и Дымоудаления - SCADA DataRa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803" cy="27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C886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Рисунок 13.4. Автоматизированные системы пожаротушения и дымоудаления</w:t>
      </w:r>
    </w:p>
    <w:p w14:paraId="4CA9829F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Категории помещений по взрывопожарной и пожарной опасности</w:t>
      </w:r>
    </w:p>
    <w:p w14:paraId="337A6CA3">
      <w:pPr>
        <w:spacing w:line="360" w:lineRule="auto"/>
        <w:jc w:val="center"/>
        <w:rPr>
          <w:b/>
          <w:sz w:val="32"/>
          <w:szCs w:val="32"/>
          <w:lang w:val="uz-Cyrl-UZ"/>
        </w:rPr>
      </w:pP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6939"/>
      </w:tblGrid>
      <w:tr w14:paraId="4644E2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5" w:type="dxa"/>
            <w:shd w:val="clear" w:color="auto" w:fill="E5DFEC"/>
          </w:tcPr>
          <w:p w14:paraId="072B5F7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Категория помещения</w:t>
            </w:r>
          </w:p>
        </w:tc>
        <w:tc>
          <w:tcPr>
            <w:tcW w:w="6939" w:type="dxa"/>
            <w:shd w:val="clear" w:color="auto" w:fill="D9D9D9"/>
          </w:tcPr>
          <w:p w14:paraId="533D003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Характеристика веществ и материалов, находящихся (обращающихся) в помещении</w:t>
            </w:r>
          </w:p>
        </w:tc>
      </w:tr>
      <w:tr w14:paraId="552504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5" w:type="dxa"/>
            <w:shd w:val="clear" w:color="auto" w:fill="E5DFEC"/>
          </w:tcPr>
          <w:p w14:paraId="16C82F4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 (взрывопожароопасная)</w:t>
            </w:r>
          </w:p>
        </w:tc>
        <w:tc>
          <w:tcPr>
            <w:tcW w:w="6939" w:type="dxa"/>
            <w:shd w:val="clear" w:color="auto" w:fill="D9D9D9"/>
          </w:tcPr>
          <w:p w14:paraId="2176C9B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Горючие газы, легковоспламеняющиеся жидкости с температурой вспышки не более 28° С в таком количестве, что могут образовывать взрывоопасные парогазовоздушные смеси, при воспламенении которых развивается расчетное избыточное давление взрыва в помещении, превышающее 5 кПа.</w:t>
            </w:r>
          </w:p>
          <w:p w14:paraId="4CBBBEE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Вещества и материалы, способные взрываться и гореть при взаимодействии с водой, кислородом воздуха или друг с другом в таком количестве, что расчетное избыточное давление взрыва в помещении превышает 5 кПа</w:t>
            </w:r>
          </w:p>
        </w:tc>
      </w:tr>
      <w:tr w14:paraId="1493F4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5" w:type="dxa"/>
            <w:shd w:val="clear" w:color="auto" w:fill="E5DFEC"/>
          </w:tcPr>
          <w:p w14:paraId="3363A2C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Б (взрывопожароопасная)</w:t>
            </w:r>
          </w:p>
        </w:tc>
        <w:tc>
          <w:tcPr>
            <w:tcW w:w="6939" w:type="dxa"/>
            <w:shd w:val="clear" w:color="auto" w:fill="D9D9D9"/>
          </w:tcPr>
          <w:p w14:paraId="56EAC28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Горючие пыли или волокна, легковоспламеняющиеся жидкости с температурой вспышки более 28° 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14:paraId="063E6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5" w:type="dxa"/>
            <w:shd w:val="clear" w:color="auto" w:fill="E5DFEC"/>
          </w:tcPr>
          <w:p w14:paraId="0C67B8C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В1 - В4 (пожароопасные)</w:t>
            </w:r>
          </w:p>
        </w:tc>
        <w:tc>
          <w:tcPr>
            <w:tcW w:w="6939" w:type="dxa"/>
            <w:shd w:val="clear" w:color="auto" w:fill="D9D9D9"/>
          </w:tcPr>
          <w:p w14:paraId="0BC9A80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Горючие и трудно горючие жидкости, твердые горючие и трудно горючие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 при условии, что помещения, в которых они имеются в наличии или обращаются, не относятся к категориям А или Б</w:t>
            </w:r>
          </w:p>
        </w:tc>
      </w:tr>
      <w:tr w14:paraId="51C45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5" w:type="dxa"/>
            <w:shd w:val="clear" w:color="auto" w:fill="E5DFEC"/>
          </w:tcPr>
          <w:p w14:paraId="78D0CEA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Г</w:t>
            </w:r>
          </w:p>
        </w:tc>
        <w:tc>
          <w:tcPr>
            <w:tcW w:w="6939" w:type="dxa"/>
            <w:shd w:val="clear" w:color="auto" w:fill="D9D9D9"/>
          </w:tcPr>
          <w:p w14:paraId="584014E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лучистой теплоты, искр и пламени; горючие газы, жидкости и твердые вещества, которые сжигаются или утилизируются в качестве топлива</w:t>
            </w:r>
          </w:p>
        </w:tc>
      </w:tr>
      <w:tr w14:paraId="4D924F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5" w:type="dxa"/>
            <w:shd w:val="clear" w:color="auto" w:fill="E5DFEC"/>
          </w:tcPr>
          <w:p w14:paraId="27733EA6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Д</w:t>
            </w:r>
          </w:p>
        </w:tc>
        <w:tc>
          <w:tcPr>
            <w:tcW w:w="6939" w:type="dxa"/>
            <w:shd w:val="clear" w:color="auto" w:fill="D9D9D9"/>
          </w:tcPr>
          <w:p w14:paraId="3ADC696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Негорючие вещества и материалы в холодном состоянии</w:t>
            </w:r>
          </w:p>
        </w:tc>
      </w:tr>
    </w:tbl>
    <w:p w14:paraId="2C2DDBB5">
      <w:pPr>
        <w:spacing w:line="360" w:lineRule="auto"/>
        <w:rPr>
          <w:sz w:val="32"/>
          <w:szCs w:val="32"/>
        </w:rPr>
      </w:pPr>
    </w:p>
    <w:p w14:paraId="085F2D4A">
      <w:pPr>
        <w:pBdr>
          <w:bottom w:val="single" w:color="4F81BD" w:sz="8" w:space="4"/>
        </w:pBdr>
        <w:autoSpaceDE w:val="0"/>
        <w:autoSpaceDN w:val="0"/>
        <w:spacing w:after="30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Контрольные вопросы</w:t>
      </w:r>
    </w:p>
    <w:p w14:paraId="40F8C798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Какие компоненты необходимы для возникновения и развития процесса горения? </w:t>
      </w:r>
    </w:p>
    <w:p w14:paraId="192BB4AB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Что принято называть процессом горения? </w:t>
      </w:r>
    </w:p>
    <w:p w14:paraId="4B9FD53A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Что называют взрывом? </w:t>
      </w:r>
    </w:p>
    <w:p w14:paraId="15810C07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Дайте определение "пожар"? </w:t>
      </w:r>
    </w:p>
    <w:p w14:paraId="24736B1B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Чем температура вспышки горючей смеси отличается от температуры ее воспламенения? </w:t>
      </w:r>
    </w:p>
    <w:p w14:paraId="736B6E63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На основании каких данных устанавливается категория помещения по взрывной и пожарной опасности? </w:t>
      </w:r>
    </w:p>
    <w:p w14:paraId="377A91C2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Сколько существует классов взрывоопасных зон и на основании чего они устанавливаются? </w:t>
      </w:r>
    </w:p>
    <w:p w14:paraId="0CB1836B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Какие существуют способы тушения пожаров? </w:t>
      </w:r>
    </w:p>
    <w:p w14:paraId="7EB82351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Перечислите типы средств тушения пожаров. </w:t>
      </w:r>
    </w:p>
    <w:p w14:paraId="3792BCFD">
      <w:pPr>
        <w:numPr>
          <w:ilvl w:val="0"/>
          <w:numId w:val="3"/>
        </w:numPr>
        <w:tabs>
          <w:tab w:val="left" w:pos="284"/>
          <w:tab w:val="clear" w:pos="644"/>
        </w:tabs>
        <w:spacing w:after="75" w:line="360" w:lineRule="auto"/>
        <w:ind w:left="0" w:firstLine="70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Какие средства тушения пожара могут быть использованы при возгорании электрооборудования, находящегося под напряжением? </w:t>
      </w:r>
    </w:p>
    <w:p w14:paraId="2501637B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³&lt;/FON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3412B9"/>
    <w:multiLevelType w:val="multilevel"/>
    <w:tmpl w:val="423412B9"/>
    <w:lvl w:ilvl="0" w:tentative="0">
      <w:start w:val="1"/>
      <w:numFmt w:val="decimal"/>
      <w:lvlText w:val="%1."/>
      <w:lvlJc w:val="left"/>
      <w:pPr>
        <w:tabs>
          <w:tab w:val="left" w:pos="644"/>
        </w:tabs>
        <w:ind w:left="644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5F262AF"/>
    <w:multiLevelType w:val="multilevel"/>
    <w:tmpl w:val="55F262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E556800"/>
    <w:multiLevelType w:val="multilevel"/>
    <w:tmpl w:val="7E556800"/>
    <w:lvl w:ilvl="0" w:tentative="0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entative="0">
      <w:start w:val="5"/>
      <w:numFmt w:val="decimal"/>
      <w:isLgl/>
      <w:lvlText w:val="%1.%2."/>
      <w:lvlJc w:val="left"/>
      <w:pPr>
        <w:ind w:left="525" w:hanging="39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125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62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755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25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385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252E22"/>
    <w:rsid w:val="0B25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16.jpeg"/><Relationship Id="rId31" Type="http://schemas.openxmlformats.org/officeDocument/2006/relationships/image" Target="media/image15.jpeg"/><Relationship Id="rId30" Type="http://schemas.openxmlformats.org/officeDocument/2006/relationships/image" Target="media/image14.wmf"/><Relationship Id="rId3" Type="http://schemas.openxmlformats.org/officeDocument/2006/relationships/footnotes" Target="footnotes.xml"/><Relationship Id="rId29" Type="http://schemas.openxmlformats.org/officeDocument/2006/relationships/oleObject" Target="embeddings/oleObject11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0.bin"/><Relationship Id="rId26" Type="http://schemas.openxmlformats.org/officeDocument/2006/relationships/image" Target="media/image12.wmf"/><Relationship Id="rId25" Type="http://schemas.openxmlformats.org/officeDocument/2006/relationships/oleObject" Target="embeddings/oleObject9.bin"/><Relationship Id="rId24" Type="http://schemas.openxmlformats.org/officeDocument/2006/relationships/image" Target="media/image11.wmf"/><Relationship Id="rId23" Type="http://schemas.openxmlformats.org/officeDocument/2006/relationships/oleObject" Target="embeddings/oleObject8.bin"/><Relationship Id="rId22" Type="http://schemas.openxmlformats.org/officeDocument/2006/relationships/image" Target="media/image10.wmf"/><Relationship Id="rId21" Type="http://schemas.openxmlformats.org/officeDocument/2006/relationships/oleObject" Target="embeddings/oleObject7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8.wmf"/><Relationship Id="rId17" Type="http://schemas.openxmlformats.org/officeDocument/2006/relationships/oleObject" Target="embeddings/oleObject5.bin"/><Relationship Id="rId16" Type="http://schemas.openxmlformats.org/officeDocument/2006/relationships/image" Target="media/image7.wmf"/><Relationship Id="rId15" Type="http://schemas.openxmlformats.org/officeDocument/2006/relationships/oleObject" Target="embeddings/oleObject4.bin"/><Relationship Id="rId14" Type="http://schemas.openxmlformats.org/officeDocument/2006/relationships/image" Target="media/image6.wmf"/><Relationship Id="rId13" Type="http://schemas.openxmlformats.org/officeDocument/2006/relationships/oleObject" Target="embeddings/oleObject3.bin"/><Relationship Id="rId12" Type="http://schemas.openxmlformats.org/officeDocument/2006/relationships/image" Target="media/image5.wmf"/><Relationship Id="rId11" Type="http://schemas.openxmlformats.org/officeDocument/2006/relationships/oleObject" Target="embeddings/oleObject2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2025-05-09T12:30:00Z</dcterms:created>
  <dc:creator>Asdian Katana</dc:creator>
  <cp:lastModifiedBy>Asdian Katana</cp:lastModifiedBy>
  <dcterms:modified xsi:type="dcterms:W3CDTF">2025-05-09T12:31:45Z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9C7880B81DAB447A874C17FDE81BA0D7_11</vt:lpwstr>
  </property>
</Properties>
</file>