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gif" ContentType="image/gif"/>
  <Default Extension="wmf" ContentType="image/x-wmf"/>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94A899">
      <w:pPr>
        <w:spacing w:after="0" w:line="360" w:lineRule="auto"/>
        <w:ind w:firstLine="709"/>
        <w:jc w:val="center"/>
        <w:rPr>
          <w:rFonts w:ascii="Times New Roman" w:hAnsi="Times New Roman" w:eastAsia="Times New Roman" w:cs="Times New Roman"/>
          <w:b/>
          <w:color w:val="000000"/>
          <w:sz w:val="28"/>
          <w:szCs w:val="28"/>
          <w:shd w:val="clear" w:color="auto" w:fill="FFFFFF"/>
          <w:lang w:eastAsia="ru-RU"/>
        </w:rPr>
      </w:pPr>
      <w:bookmarkStart w:id="1" w:name="_GoBack"/>
      <w:bookmarkEnd w:id="1"/>
      <w:r>
        <w:rPr>
          <w:rFonts w:ascii="Times New Roman" w:hAnsi="Times New Roman" w:eastAsia="Times New Roman" w:cs="Times New Roman"/>
          <w:b/>
          <w:sz w:val="28"/>
          <w:szCs w:val="28"/>
          <w:lang w:eastAsia="ru-RU"/>
        </w:rPr>
        <w:t xml:space="preserve">Лекция 4. </w:t>
      </w:r>
      <w:r>
        <w:rPr>
          <w:rFonts w:ascii="Times New Roman" w:hAnsi="Times New Roman" w:eastAsia="Times New Roman" w:cs="Times New Roman"/>
          <w:b/>
          <w:color w:val="000000"/>
          <w:sz w:val="28"/>
          <w:szCs w:val="28"/>
          <w:shd w:val="clear" w:color="auto" w:fill="FFFFFF"/>
          <w:lang w:eastAsia="ru-RU"/>
        </w:rPr>
        <w:t>СОЛНЕЧНАЯ ЭНЕРГИЯ. ИНФОРМАЦИЯ О СОЛНЕЧНОЙ ЭНЕРГИИ. ТИПЫ СОЛНЕЧНЫХ УСТРОЙСТВ. СОЛНЕЧНЫЕ КОЛЛЕКТОРЫ</w:t>
      </w:r>
    </w:p>
    <w:p w14:paraId="04DAF9A4">
      <w:pPr>
        <w:spacing w:after="0" w:line="360" w:lineRule="auto"/>
        <w:ind w:firstLine="709"/>
        <w:jc w:val="center"/>
        <w:rPr>
          <w:rFonts w:ascii="Times New Roman" w:hAnsi="Times New Roman" w:eastAsia="Times New Roman" w:cs="Times New Roman"/>
          <w:b/>
          <w:color w:val="000000"/>
          <w:sz w:val="28"/>
          <w:szCs w:val="28"/>
          <w:shd w:val="clear" w:color="auto" w:fill="FFFFFF"/>
          <w:lang w:eastAsia="ru-RU"/>
        </w:rPr>
      </w:pPr>
    </w:p>
    <w:p w14:paraId="650DC3AC">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1. Солнечное излучение</w:t>
      </w:r>
    </w:p>
    <w:p w14:paraId="286EE0EE">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2. Классификация и типы солнечных батарей</w:t>
      </w:r>
    </w:p>
    <w:p w14:paraId="70518135">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3. Солнечные коллекторы</w:t>
      </w:r>
    </w:p>
    <w:p w14:paraId="53BA407D">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4. Солнечная энергия для электрических устройств преобразования энергии, фотоэлектрических элементов</w:t>
      </w:r>
    </w:p>
    <w:p w14:paraId="62E73C80">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5. Регулированные пределы преобразуемой солнечной энергии</w:t>
      </w:r>
    </w:p>
    <w:p w14:paraId="7A8E64B3">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6. Компоненты фотоэлектрических систем</w:t>
      </w:r>
    </w:p>
    <w:p w14:paraId="40C82F45">
      <w:pPr>
        <w:spacing w:after="0" w:line="360" w:lineRule="auto"/>
        <w:ind w:firstLine="709"/>
        <w:jc w:val="both"/>
        <w:rPr>
          <w:rFonts w:ascii="Times New Roman" w:hAnsi="Times New Roman" w:eastAsia="Times New Roman" w:cs="Times New Roman"/>
          <w:spacing w:val="-2"/>
          <w:sz w:val="28"/>
          <w:szCs w:val="28"/>
          <w:lang w:eastAsia="ru-RU"/>
        </w:rPr>
      </w:pPr>
    </w:p>
    <w:p w14:paraId="4F452AC9">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Солнечная энергия является одной из наиболее перспективных и экологически чистых форм возобновляемых источников энергии. В контексте развития зеленых технологий, солнечная энергия играет ключевую роль благодаря своей доступности, низкому воздействию на окружающую среду и значительному потенциалу для масштабирования.</w:t>
      </w:r>
    </w:p>
    <w:p w14:paraId="43834125">
      <w:pPr>
        <w:spacing w:after="0" w:line="360" w:lineRule="auto"/>
        <w:ind w:firstLine="709"/>
        <w:jc w:val="both"/>
        <w:rPr>
          <w:rFonts w:ascii="Times New Roman" w:hAnsi="Times New Roman" w:eastAsia="Times New Roman" w:cs="Times New Roman"/>
          <w:b/>
          <w:bCs/>
          <w:spacing w:val="-2"/>
          <w:sz w:val="28"/>
          <w:szCs w:val="28"/>
          <w:lang w:eastAsia="ru-RU"/>
        </w:rPr>
      </w:pPr>
      <w:r>
        <w:rPr>
          <w:rFonts w:ascii="Times New Roman" w:hAnsi="Times New Roman" w:eastAsia="Times New Roman" w:cs="Times New Roman"/>
          <w:b/>
          <w:bCs/>
          <w:spacing w:val="-2"/>
          <w:sz w:val="28"/>
          <w:szCs w:val="28"/>
          <w:lang w:eastAsia="ru-RU"/>
        </w:rPr>
        <w:t>4.1. Развитие возобновляемых источников энергии в Узбекистане</w:t>
      </w:r>
    </w:p>
    <w:p w14:paraId="63EE9296">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Анализ показывает, что потенциал солнечной и ветровой энергии в Узбекистане превышает текущую потребность в электроэнергии в 10-12 раз. Несмотря на это, значительные возможности долгое время не использовались.</w:t>
      </w:r>
    </w:p>
    <w:p w14:paraId="0047F4CA">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В последние годы государство уделяет большое внимание этому сектору, создав соответствующую правовую базу и начав крупные программы по производству "зеленой энергии". В отрасль привлечено 2,1 млрд долларов прямых иностранных инвестиций, с проектами на сумму еще 13 млрд долларов. В большинстве регионов строятся современные солнечные и ветровые электростанции.</w:t>
      </w:r>
    </w:p>
    <w:p w14:paraId="4331944C">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В Бухаре, Джизаке, Кашкадарье, Навои, Самарканде и Сурхандарье запущены 9 крупных солнечных и ветровых электростанций общей мощностью 1,6 ГВт. В Андижанской, Самаркандской, Сурхандарьинской и Ташкентской областях введены в эксплуатацию 6 ГЭС общей мощностью 183 МВт. Солнечные панели общей мощностью 457 МВт установлены на объектах социальной сферы, предприятиях, организациях и жилых домах, финансирование которых составило почти 2 трлн сумов.</w:t>
      </w:r>
    </w:p>
    <w:p w14:paraId="237A6B9E">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В результате, произведено дополнительно 5 млрд кВт·ч экологически чистой электроэнергии и сэкономлено 1,5 млрд кубометров газа. Развитие отрасли также способствовало увеличению производства местными предприятиями трансформаторов, кабелей, тепловых коллекторов, солнечных панелей, изоляторов и металлических конструкций.</w:t>
      </w:r>
    </w:p>
    <w:p w14:paraId="7C23EB14">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В 2024 году объем выработки "зеленой энергии" достигнет 13 млрд кВт·ч, составляя 15% от общего энергобаланса страны. В следующие три года будут введены в эксплуатацию 28 крупных солнечных и ветровых электростанций общей мощностью 8 ГВт, построено 944 км высоковольтных электросетей и 6 крупных подстанций, установлены 18 систем хранения энергии емкостью 2,2 ГВт.</w:t>
      </w:r>
    </w:p>
    <w:p w14:paraId="48A63EF3">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В 2024 году будут запущены 14 станций общей мощностью 2,6 ГВт, для подключения которых будет построено 500 км высоковольтных электросетей и расширена мощность 5 подстанций. За счет новых мощностей в этом году будет произведено не менее 85 млрд кВт·ч, из них 6 млрд кВт·ч на солнечных и ветровых станциях.</w:t>
      </w:r>
    </w:p>
    <w:p w14:paraId="5E5603AF">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Программа "Солнечный дом" стимулирует установку солнечных панелей на жилых домах, выделяя на эти цели 50 млн долларов ресурсов и привлекая еще 100 млн долларов иностранных инвестиций. Таможенные льготы на ввоз солнечных панелей, инверторов и аккумуляторов будут продлены на пять лет.</w:t>
      </w:r>
    </w:p>
    <w:p w14:paraId="494F21F8">
      <w:pPr>
        <w:spacing w:after="0" w:line="360" w:lineRule="auto"/>
        <w:ind w:firstLine="709"/>
        <w:jc w:val="both"/>
        <w:rPr>
          <w:rFonts w:ascii="Times New Roman" w:hAnsi="Times New Roman" w:eastAsia="Times New Roman" w:cs="Times New Roman"/>
          <w:spacing w:val="-2"/>
          <w:sz w:val="28"/>
          <w:szCs w:val="28"/>
          <w:lang w:eastAsia="ru-RU"/>
        </w:rPr>
      </w:pPr>
      <w:r>
        <w:rPr>
          <w:rFonts w:ascii="Times New Roman" w:hAnsi="Times New Roman" w:eastAsia="Times New Roman" w:cs="Times New Roman"/>
          <w:spacing w:val="-2"/>
          <w:sz w:val="28"/>
          <w:szCs w:val="28"/>
          <w:lang w:eastAsia="ru-RU"/>
        </w:rPr>
        <w:t>Отечественные предприятия получат поддержку в получении международных сертификатов качества и приведении производства в соответствие с международными стандартами. В "Солнечном кластере" города Карши планируется производство солнечных панелей, аккумуляторов и инверторов, а в промышленной зоне Ахангарона - кабелей и трансформаторов, в городе Нукусе и Андижанском районе - солнечных панелей.</w:t>
      </w:r>
    </w:p>
    <w:p w14:paraId="43B1EA15">
      <w:pPr>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Солнечное излучение, достигающее атмосферы Земли:</w:t>
      </w:r>
    </w:p>
    <w:p w14:paraId="7D8018A8">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результате реакций ядерного синтеза в активном ядре Солнца достигаются температуры до 10</w:t>
      </w:r>
      <w:r>
        <w:rPr>
          <w:rFonts w:ascii="Times New Roman" w:hAnsi="Times New Roman" w:eastAsia="Times New Roman" w:cs="Times New Roman"/>
          <w:sz w:val="28"/>
          <w:szCs w:val="28"/>
          <w:vertAlign w:val="superscript"/>
          <w:lang w:eastAsia="ru-RU"/>
        </w:rPr>
        <w:t xml:space="preserve">7 </w:t>
      </w:r>
      <w:r>
        <w:rPr>
          <w:rFonts w:ascii="Times New Roman" w:hAnsi="Times New Roman" w:eastAsia="Times New Roman" w:cs="Times New Roman"/>
          <w:sz w:val="28"/>
          <w:szCs w:val="28"/>
          <w:lang w:eastAsia="ru-RU"/>
        </w:rPr>
        <w:t>К; спектральное распределение потока излучения из ядра неравномерно. Это излучение поглощается внешними неактивными слоями до температуры Т = 5800 К, в результате чего спектральное распределение солнечного излучения становится относительно непрерывным.</w:t>
      </w:r>
    </w:p>
    <w:p w14:paraId="036393B0">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рис. 4.1 показано спектральное распределение излучения от Солнца, не искаженное влиянием атмосферы Земли.</w:t>
      </w:r>
    </w:p>
    <w:p w14:paraId="5C6E62A8">
      <w:pPr>
        <w:spacing w:after="0" w:line="360" w:lineRule="auto"/>
        <w:jc w:val="center"/>
        <w:rPr>
          <w:rFonts w:ascii="Times New Roman" w:hAnsi="Times New Roman" w:eastAsia="Times New Roman" w:cs="Times New Roman"/>
          <w:b/>
          <w:spacing w:val="-2"/>
          <w:sz w:val="28"/>
          <w:szCs w:val="28"/>
          <w:lang w:eastAsia="ru-RU"/>
        </w:rPr>
      </w:pPr>
      <w:r>
        <w:rPr>
          <w:rFonts w:ascii="Times New Roman" w:hAnsi="Times New Roman" w:eastAsia="Times New Roman" w:cs="Times New Roman"/>
          <w:b/>
          <w:spacing w:val="-2"/>
          <w:sz w:val="28"/>
          <w:szCs w:val="28"/>
          <w:lang w:eastAsia="ru-RU"/>
        </w:rPr>
        <w:drawing>
          <wp:inline distT="0" distB="0" distL="0" distR="0">
            <wp:extent cx="5005705" cy="1936750"/>
            <wp:effectExtent l="0" t="0" r="4445" b="6350"/>
            <wp:docPr id="2" name="Рисунок 2" descr="https://cf.ppt-online.org/files1/slide/b/BUSYiEqAoNe6WdXcRDmgJt3VQKwlHv2I58kprxLuf/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https://cf.ppt-online.org/files1/slide/b/BUSYiEqAoNe6WdXcRDmgJt3VQKwlHv2I58kprxLuf/slide-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05705" cy="1936750"/>
                    </a:xfrm>
                    <a:prstGeom prst="rect">
                      <a:avLst/>
                    </a:prstGeom>
                    <a:noFill/>
                    <a:ln>
                      <a:noFill/>
                    </a:ln>
                  </pic:spPr>
                </pic:pic>
              </a:graphicData>
            </a:graphic>
          </wp:inline>
        </w:drawing>
      </w:r>
    </w:p>
    <w:p w14:paraId="56CF7871">
      <w:pPr>
        <w:spacing w:after="0" w:line="360" w:lineRule="auto"/>
        <w:ind w:right="-1"/>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4.1. Спектральное распределение солнечного излучения вне атмосферы</w:t>
      </w:r>
    </w:p>
    <w:p w14:paraId="398E0771">
      <w:pPr>
        <w:spacing w:after="0" w:line="360" w:lineRule="auto"/>
        <w:ind w:left="1170" w:right="1331" w:firstLine="709"/>
        <w:jc w:val="center"/>
        <w:rPr>
          <w:rFonts w:ascii="Times New Roman" w:hAnsi="Times New Roman" w:eastAsia="Times New Roman" w:cs="Times New Roman"/>
          <w:sz w:val="28"/>
          <w:szCs w:val="28"/>
          <w:lang w:eastAsia="ru-RU"/>
        </w:rPr>
      </w:pPr>
    </w:p>
    <w:p w14:paraId="0155BDD9">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Из анализа этого рисунка следует, что это распределение по форме, длине волны в максимуме и полной энергии излучения подобно распределению интенсивности излучения абсолютно черного тела при температуре 5800 К. Площадь под этой кривой равна солнечной постоянной </w:t>
      </w:r>
      <w:r>
        <w:rPr>
          <w:rFonts w:ascii="Times New Roman" w:hAnsi="Times New Roman" w:eastAsia="Times New Roman" w:cs="Times New Roman"/>
          <w:sz w:val="28"/>
          <w:szCs w:val="28"/>
          <w:lang w:val="en-US" w:eastAsia="ru-RU"/>
        </w:rPr>
        <w:t>G</w:t>
      </w:r>
      <w:r>
        <w:rPr>
          <w:rFonts w:ascii="Times New Roman" w:hAnsi="Times New Roman" w:eastAsia="Times New Roman" w:cs="Times New Roman"/>
          <w:sz w:val="28"/>
          <w:szCs w:val="28"/>
          <w:vertAlign w:val="subscript"/>
          <w:lang w:val="en-US" w:eastAsia="ru-RU"/>
        </w:rPr>
        <w:t>o</w:t>
      </w:r>
      <w:r>
        <w:rPr>
          <w:rFonts w:ascii="Times New Roman" w:hAnsi="Times New Roman" w:eastAsia="Times New Roman" w:cs="Times New Roman"/>
          <w:sz w:val="28"/>
          <w:szCs w:val="28"/>
          <w:vertAlign w:val="superscript"/>
          <w:lang w:eastAsia="ru-RU"/>
        </w:rPr>
        <w:t xml:space="preserve">* </w:t>
      </w:r>
      <w:r>
        <w:rPr>
          <w:rFonts w:ascii="Times New Roman" w:hAnsi="Times New Roman" w:eastAsia="Times New Roman" w:cs="Times New Roman"/>
          <w:sz w:val="28"/>
          <w:szCs w:val="28"/>
          <w:lang w:eastAsia="ru-RU"/>
        </w:rPr>
        <w:t>=1353 Вт/м</w:t>
      </w:r>
      <w:r>
        <w:rPr>
          <w:rFonts w:ascii="Times New Roman" w:hAnsi="Times New Roman" w:eastAsia="Times New Roman" w:cs="Times New Roman"/>
          <w:sz w:val="28"/>
          <w:szCs w:val="28"/>
          <w:vertAlign w:val="superscript"/>
          <w:lang w:eastAsia="ru-RU"/>
        </w:rPr>
        <w:t>2</w:t>
      </w:r>
      <w:r>
        <w:rPr>
          <w:rFonts w:ascii="Times New Roman" w:hAnsi="Times New Roman" w:eastAsia="Times New Roman" w:cs="Times New Roman"/>
          <w:sz w:val="28"/>
          <w:szCs w:val="28"/>
          <w:lang w:eastAsia="ru-RU"/>
        </w:rPr>
        <w:t>, которая представляет собой плотность потока излучения, падающего на площадку, перпендикулярную этому потоку и расположенную над атмосферой на расстоянии 1,496</w:t>
      </w:r>
      <w:r>
        <w:rPr>
          <w:rFonts w:ascii="Times New Roman" w:hAnsi="Times New Roman" w:eastAsia="Times New Roman" w:cs="Times New Roman"/>
          <w:sz w:val="28"/>
          <w:szCs w:val="28"/>
          <w:lang w:eastAsia="ru-RU"/>
        </w:rPr>
        <w:sym w:font="Symbol" w:char="F0D7"/>
      </w:r>
      <w:r>
        <w:rPr>
          <w:rFonts w:ascii="Times New Roman" w:hAnsi="Times New Roman" w:eastAsia="Times New Roman" w:cs="Times New Roman"/>
          <w:sz w:val="28"/>
          <w:szCs w:val="28"/>
          <w:lang w:eastAsia="ru-RU"/>
        </w:rPr>
        <w:t>10</w:t>
      </w:r>
      <w:r>
        <w:rPr>
          <w:rFonts w:ascii="Times New Roman" w:hAnsi="Times New Roman" w:eastAsia="Times New Roman" w:cs="Times New Roman"/>
          <w:sz w:val="28"/>
          <w:szCs w:val="28"/>
          <w:vertAlign w:val="superscript"/>
          <w:lang w:eastAsia="ru-RU"/>
        </w:rPr>
        <w:t>8</w:t>
      </w:r>
      <w:r>
        <w:rPr>
          <w:rFonts w:ascii="Times New Roman" w:hAnsi="Times New Roman" w:eastAsia="Times New Roman" w:cs="Times New Roman"/>
          <w:sz w:val="28"/>
          <w:szCs w:val="28"/>
          <w:lang w:eastAsia="ru-RU"/>
        </w:rPr>
        <w:t xml:space="preserve"> км от Солнца.</w:t>
      </w:r>
    </w:p>
    <w:p w14:paraId="4CFF7648">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На самом деле плотность потока излучения, достигающего верхней границы атмосферы, отличается от солнечной постоянной вследствие как флуктуаций потока солнечной энергии менее чем на </w:t>
      </w:r>
      <w:r>
        <w:rPr>
          <w:rFonts w:ascii="Times New Roman" w:hAnsi="Times New Roman" w:eastAsia="Times New Roman" w:cs="Times New Roman"/>
          <w:sz w:val="28"/>
          <w:szCs w:val="28"/>
          <w:lang w:eastAsia="ru-RU"/>
        </w:rPr>
        <w:sym w:font="Symbol" w:char="F0B1"/>
      </w:r>
      <w:r>
        <w:rPr>
          <w:rFonts w:ascii="Times New Roman" w:hAnsi="Times New Roman" w:eastAsia="Times New Roman" w:cs="Times New Roman"/>
          <w:sz w:val="28"/>
          <w:szCs w:val="28"/>
          <w:lang w:eastAsia="ru-RU"/>
        </w:rPr>
        <w:t xml:space="preserve">1,5%, так и закономерного изменения расстояния между Землей и Солнцем на </w:t>
      </w:r>
      <w:r>
        <w:rPr>
          <w:rFonts w:ascii="Times New Roman" w:hAnsi="Times New Roman" w:eastAsia="Times New Roman" w:cs="Times New Roman"/>
          <w:sz w:val="28"/>
          <w:szCs w:val="28"/>
          <w:lang w:eastAsia="ru-RU"/>
        </w:rPr>
        <w:sym w:font="Symbol" w:char="F0B1"/>
      </w:r>
      <w:r>
        <w:rPr>
          <w:rFonts w:ascii="Times New Roman" w:hAnsi="Times New Roman" w:eastAsia="Times New Roman" w:cs="Times New Roman"/>
          <w:sz w:val="28"/>
          <w:szCs w:val="28"/>
          <w:lang w:eastAsia="ru-RU"/>
        </w:rPr>
        <w:t>4% в течение года.</w:t>
      </w:r>
    </w:p>
    <w:p w14:paraId="7FB60A48">
      <w:pPr>
        <w:spacing w:after="0" w:line="36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875655" cy="2070100"/>
            <wp:effectExtent l="0" t="0" r="0" b="6350"/>
            <wp:docPr id="4" name="Рисунок 4" descr="https://cf.ppt-online.org/files1/slide/b/BUSYiEqAoNe6WdXcRDmgJt3VQKwlHv2I58kprxLuf/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s://cf.ppt-online.org/files1/slide/b/BUSYiEqAoNe6WdXcRDmgJt3VQKwlHv2I58kprxLuf/slide-6.jpg"/>
                    <pic:cNvPicPr>
                      <a:picLocks noChangeAspect="1" noChangeArrowheads="1"/>
                    </pic:cNvPicPr>
                  </pic:nvPicPr>
                  <pic:blipFill>
                    <a:blip r:embed="rId7">
                      <a:extLst>
                        <a:ext uri="{28A0092B-C50C-407E-A947-70E740481C1C}">
                          <a14:useLocalDpi xmlns:a14="http://schemas.microsoft.com/office/drawing/2010/main" val="0"/>
                        </a:ext>
                      </a:extLst>
                    </a:blip>
                    <a:srcRect l="1069" b="8624"/>
                    <a:stretch>
                      <a:fillRect/>
                    </a:stretch>
                  </pic:blipFill>
                  <pic:spPr>
                    <a:xfrm>
                      <a:off x="0" y="0"/>
                      <a:ext cx="5880654" cy="2071861"/>
                    </a:xfrm>
                    <a:prstGeom prst="rect">
                      <a:avLst/>
                    </a:prstGeom>
                    <a:noFill/>
                    <a:ln>
                      <a:noFill/>
                    </a:ln>
                  </pic:spPr>
                </pic:pic>
              </a:graphicData>
            </a:graphic>
          </wp:inline>
        </w:drawing>
      </w:r>
    </w:p>
    <w:p w14:paraId="27032D3D">
      <w:pPr>
        <w:spacing w:after="0" w:line="360" w:lineRule="auto"/>
        <w:jc w:val="center"/>
        <w:rPr>
          <w:rFonts w:ascii="Times New Roman" w:hAnsi="Times New Roman" w:eastAsia="Times New Roman" w:cs="Times New Roman"/>
          <w:b/>
          <w:sz w:val="28"/>
          <w:szCs w:val="28"/>
          <w:lang w:eastAsia="ru-RU" w:bidi="ru-RU"/>
        </w:rPr>
      </w:pPr>
      <w:r>
        <w:rPr>
          <w:rFonts w:ascii="Times New Roman" w:hAnsi="Times New Roman" w:eastAsia="Times New Roman" w:cs="Times New Roman"/>
          <w:b/>
          <w:sz w:val="28"/>
          <w:szCs w:val="28"/>
          <w:lang w:eastAsia="ru-RU" w:bidi="ru-RU"/>
        </w:rPr>
        <w:t>Рисунок 4.2. Процесс распространения солнечного света</w:t>
      </w:r>
    </w:p>
    <w:p w14:paraId="7393856D">
      <w:pPr>
        <w:spacing w:after="0" w:line="360" w:lineRule="auto"/>
        <w:ind w:firstLine="709"/>
        <w:jc w:val="both"/>
        <w:rPr>
          <w:rFonts w:ascii="Times New Roman" w:hAnsi="Times New Roman" w:eastAsia="Times New Roman" w:cs="Times New Roman"/>
          <w:sz w:val="28"/>
          <w:szCs w:val="28"/>
          <w:lang w:eastAsia="ru-RU" w:bidi="ru-RU"/>
        </w:rPr>
      </w:pPr>
    </w:p>
    <w:p w14:paraId="47C5FD92">
      <w:pPr>
        <w:spacing w:after="0" w:line="360" w:lineRule="auto"/>
        <w:ind w:firstLine="709"/>
        <w:jc w:val="both"/>
        <w:rPr>
          <w:rFonts w:ascii="Times New Roman" w:hAnsi="Times New Roman" w:eastAsia="Times New Roman" w:cs="Times New Roman"/>
          <w:sz w:val="28"/>
          <w:szCs w:val="28"/>
          <w:lang w:eastAsia="ru-RU" w:bidi="ru-RU"/>
        </w:rPr>
      </w:pPr>
      <w:r>
        <w:rPr>
          <w:rFonts w:ascii="Times New Roman" w:hAnsi="Times New Roman" w:eastAsia="Times New Roman" w:cs="Times New Roman"/>
          <w:sz w:val="28"/>
          <w:szCs w:val="28"/>
          <w:lang w:eastAsia="ru-RU" w:bidi="ru-RU"/>
        </w:rPr>
        <w:t>Солнечное излучение, как процесс распространения электромагнитных волн, характеризуется длиной волны - λ и частотой колебаний - υ. Обычно в соответствии с длиной волны выделяют три основных диапазона излучения:</w:t>
      </w:r>
    </w:p>
    <w:p w14:paraId="6E164E93">
      <w:pPr>
        <w:numPr>
          <w:ilvl w:val="0"/>
          <w:numId w:val="1"/>
        </w:numPr>
        <w:spacing w:after="0" w:line="360" w:lineRule="auto"/>
        <w:jc w:val="both"/>
        <w:rPr>
          <w:rFonts w:ascii="Times New Roman" w:hAnsi="Times New Roman" w:eastAsia="Times New Roman" w:cs="Times New Roman"/>
          <w:sz w:val="28"/>
          <w:szCs w:val="28"/>
          <w:lang w:eastAsia="ru-RU" w:bidi="ru-RU"/>
        </w:rPr>
      </w:pPr>
      <w:r>
        <w:rPr>
          <w:rFonts w:ascii="Times New Roman" w:hAnsi="Times New Roman" w:eastAsia="Times New Roman" w:cs="Times New Roman"/>
          <w:sz w:val="28"/>
          <w:szCs w:val="28"/>
          <w:lang w:eastAsia="ru-RU" w:bidi="ru-RU"/>
        </w:rPr>
        <w:t>ультрафиолетовое излучение (длины волн менее 0,4 мкм), в этом диапазоне переносится примерно 9 % энергии;</w:t>
      </w:r>
    </w:p>
    <w:p w14:paraId="1A53A47E">
      <w:pPr>
        <w:numPr>
          <w:ilvl w:val="0"/>
          <w:numId w:val="1"/>
        </w:numPr>
        <w:spacing w:after="0" w:line="360" w:lineRule="auto"/>
        <w:jc w:val="both"/>
        <w:rPr>
          <w:rFonts w:ascii="Times New Roman" w:hAnsi="Times New Roman" w:eastAsia="Times New Roman" w:cs="Times New Roman"/>
          <w:sz w:val="28"/>
          <w:szCs w:val="28"/>
          <w:lang w:eastAsia="ru-RU" w:bidi="ru-RU"/>
        </w:rPr>
      </w:pPr>
      <w:r>
        <w:rPr>
          <w:rFonts w:ascii="Times New Roman" w:hAnsi="Times New Roman" w:eastAsia="Times New Roman" w:cs="Times New Roman"/>
          <w:sz w:val="28"/>
          <w:szCs w:val="28"/>
          <w:lang w:eastAsia="ru-RU" w:bidi="ru-RU"/>
        </w:rPr>
        <w:t>видимое излучение (длины волн от 0,4 мкм до 0,8 мкм) в этом диапазоне переносится примерно 45 % энергии;</w:t>
      </w:r>
    </w:p>
    <w:p w14:paraId="041B2B0D">
      <w:pPr>
        <w:numPr>
          <w:ilvl w:val="0"/>
          <w:numId w:val="1"/>
        </w:numPr>
        <w:spacing w:after="0" w:line="360" w:lineRule="auto"/>
        <w:jc w:val="both"/>
        <w:rPr>
          <w:rFonts w:ascii="Times New Roman" w:hAnsi="Times New Roman" w:eastAsia="Times New Roman" w:cs="Times New Roman"/>
          <w:sz w:val="28"/>
          <w:szCs w:val="28"/>
          <w:lang w:eastAsia="ru-RU" w:bidi="ru-RU"/>
        </w:rPr>
      </w:pPr>
      <w:r>
        <w:rPr>
          <w:rFonts w:ascii="Times New Roman" w:hAnsi="Times New Roman" w:eastAsia="Times New Roman" w:cs="Times New Roman"/>
          <w:sz w:val="28"/>
          <w:szCs w:val="28"/>
          <w:lang w:eastAsia="ru-RU" w:bidi="ru-RU"/>
        </w:rPr>
        <w:t>инфракрасное (тепловое) излучение (длины волн более 0,8 мкм) в этом диапазоне переносится примерно 46 % энергии.</w:t>
      </w:r>
    </w:p>
    <w:p w14:paraId="32DF649E">
      <w:pPr>
        <w:spacing w:after="0" w:line="360" w:lineRule="auto"/>
        <w:jc w:val="center"/>
        <w:rPr>
          <w:rFonts w:ascii="Times New Roman" w:hAnsi="Times New Roman" w:eastAsia="Times New Roman" w:cs="Times New Roman"/>
          <w:sz w:val="28"/>
          <w:szCs w:val="28"/>
          <w:lang w:eastAsia="ru-RU" w:bidi="ru-RU"/>
        </w:rPr>
      </w:pPr>
      <w:r>
        <w:rPr>
          <w:rFonts w:ascii="Times New Roman" w:hAnsi="Times New Roman" w:eastAsia="Times New Roman" w:cs="Times New Roman"/>
          <w:sz w:val="28"/>
          <w:szCs w:val="28"/>
          <w:lang w:eastAsia="ru-RU"/>
        </w:rPr>
        <w:drawing>
          <wp:inline distT="0" distB="0" distL="0" distR="0">
            <wp:extent cx="4953000" cy="2103120"/>
            <wp:effectExtent l="0" t="0" r="0" b="0"/>
            <wp:docPr id="5" name="Рисунок 5" descr="СОЛНЕЧНАЯ РАДИАЦИЯ - Республики казахст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СОЛНЕЧНАЯ РАДИАЦИЯ - Республики казахста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53000" cy="2103120"/>
                    </a:xfrm>
                    <a:prstGeom prst="rect">
                      <a:avLst/>
                    </a:prstGeom>
                    <a:noFill/>
                    <a:ln>
                      <a:noFill/>
                    </a:ln>
                  </pic:spPr>
                </pic:pic>
              </a:graphicData>
            </a:graphic>
          </wp:inline>
        </w:drawing>
      </w:r>
    </w:p>
    <w:p w14:paraId="333DF827">
      <w:pPr>
        <w:spacing w:after="0" w:line="360" w:lineRule="auto"/>
        <w:jc w:val="center"/>
        <w:rPr>
          <w:rFonts w:ascii="Times New Roman" w:hAnsi="Times New Roman" w:eastAsia="Times New Roman" w:cs="Times New Roman"/>
          <w:b/>
          <w:sz w:val="28"/>
          <w:szCs w:val="28"/>
          <w:lang w:eastAsia="ru-RU" w:bidi="ru-RU"/>
        </w:rPr>
      </w:pPr>
      <w:r>
        <w:rPr>
          <w:rFonts w:ascii="Times New Roman" w:hAnsi="Times New Roman" w:eastAsia="Times New Roman" w:cs="Times New Roman"/>
          <w:b/>
          <w:sz w:val="28"/>
          <w:szCs w:val="28"/>
          <w:lang w:eastAsia="ru-RU" w:bidi="ru-RU"/>
        </w:rPr>
        <w:t>Рисунок 4.3. Состав солнечного излучения</w:t>
      </w:r>
    </w:p>
    <w:p w14:paraId="25CFEB6A">
      <w:pPr>
        <w:spacing w:after="0" w:line="360" w:lineRule="auto"/>
        <w:ind w:firstLine="709"/>
        <w:jc w:val="both"/>
        <w:rPr>
          <w:rFonts w:ascii="Times New Roman" w:hAnsi="Times New Roman" w:eastAsia="Times New Roman" w:cs="Times New Roman"/>
          <w:sz w:val="28"/>
          <w:szCs w:val="28"/>
          <w:lang w:eastAsia="ru-RU"/>
        </w:rPr>
      </w:pPr>
    </w:p>
    <w:p w14:paraId="6D370A87">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Вклад в поток солнечной радиации излучения с длиной волны более 2,5 мкм очень мал, поэтому все три области относятся к коротковолновому излучению. Различают прямое и рассеянное солнечные излучения (рис. 4.4).</w:t>
      </w:r>
    </w:p>
    <w:p w14:paraId="2B172F95">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Важно различать компоненты солнечного излучение и выделить площадку, на которой измеряется облученность.</w:t>
      </w:r>
    </w:p>
    <w:p w14:paraId="0419B560">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Общепринято использовать следующие индексы при измерениях и расчетах облученности детектора (рис. 4.4). Предполагается, что детектор представляет собой зачерненную поверхность единичной площадки с фильтром, обрезающим длинноволновое излучение.</w:t>
      </w:r>
    </w:p>
    <w:p w14:paraId="5298DE74">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412740" cy="2339340"/>
            <wp:effectExtent l="0" t="0" r="0" b="3810"/>
            <wp:docPr id="231" name="Рисунок 5" descr="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Рисунок 5" descr="456"/>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20000" contrast="96000"/>
                              </a14:imgEffect>
                              <a14:imgEffect>
                                <a14:sharpenSoften amount="77000"/>
                              </a14:imgEffect>
                            </a14:imgLayer>
                          </a14:imgProps>
                        </a:ext>
                        <a:ext uri="{28A0092B-C50C-407E-A947-70E740481C1C}">
                          <a14:useLocalDpi xmlns:a14="http://schemas.microsoft.com/office/drawing/2010/main" val="0"/>
                        </a:ext>
                      </a:extLst>
                    </a:blip>
                    <a:srcRect/>
                    <a:stretch>
                      <a:fillRect/>
                    </a:stretch>
                  </pic:blipFill>
                  <pic:spPr>
                    <a:xfrm>
                      <a:off x="0" y="0"/>
                      <a:ext cx="5509284" cy="2381065"/>
                    </a:xfrm>
                    <a:prstGeom prst="rect">
                      <a:avLst/>
                    </a:prstGeom>
                    <a:noFill/>
                    <a:ln>
                      <a:noFill/>
                    </a:ln>
                  </pic:spPr>
                </pic:pic>
              </a:graphicData>
            </a:graphic>
          </wp:inline>
        </w:drawing>
      </w:r>
    </w:p>
    <w:p w14:paraId="47FBD954">
      <w:pPr>
        <w:tabs>
          <w:tab w:val="left" w:pos="7920"/>
          <w:tab w:val="left" w:pos="8190"/>
        </w:tabs>
        <w:spacing w:after="0" w:line="360" w:lineRule="auto"/>
        <w:ind w:right="-1"/>
        <w:jc w:val="center"/>
        <w:rPr>
          <w:rFonts w:ascii="Times New Roman" w:hAnsi="Times New Roman" w:eastAsia="Times New Roman" w:cs="Times New Roman"/>
          <w:spacing w:val="-10"/>
          <w:sz w:val="28"/>
          <w:szCs w:val="28"/>
          <w:lang w:eastAsia="ru-RU"/>
        </w:rPr>
      </w:pPr>
      <w:r>
        <w:rPr>
          <w:rFonts w:ascii="Times New Roman" w:hAnsi="Times New Roman" w:eastAsia="Times New Roman" w:cs="Times New Roman"/>
          <w:b/>
          <w:spacing w:val="-10"/>
          <w:sz w:val="28"/>
          <w:szCs w:val="28"/>
          <w:lang w:eastAsia="ru-RU"/>
        </w:rPr>
        <w:t>Рисунок 4.4. Способы измерения составляющих солнечного излучения.</w:t>
      </w:r>
      <w:r>
        <w:rPr>
          <w:rFonts w:ascii="Times New Roman" w:hAnsi="Times New Roman" w:eastAsia="Times New Roman" w:cs="Times New Roman"/>
          <w:spacing w:val="-10"/>
          <w:sz w:val="28"/>
          <w:szCs w:val="28"/>
          <w:lang w:eastAsia="ru-RU"/>
        </w:rPr>
        <w:t xml:space="preserve"> Регистрируются: только прямые лучи (а); только диффузная составляющая (б); суммарное излучение (в); 1 - приемная площадка, перпендикулярная плотности потока излучения; 2 - горизонтальная приемная площадка; 3 - произвольный угол наклона приемника; </w:t>
      </w:r>
      <w:r>
        <w:rPr>
          <w:rFonts w:ascii="Times New Roman" w:hAnsi="Times New Roman" w:eastAsia="Times New Roman" w:cs="Times New Roman"/>
          <w:spacing w:val="-10"/>
          <w:sz w:val="28"/>
          <w:szCs w:val="28"/>
          <w:lang w:val="en-US" w:eastAsia="ru-RU"/>
        </w:rPr>
        <w:t>b</w:t>
      </w:r>
      <w:r>
        <w:rPr>
          <w:rFonts w:ascii="Times New Roman" w:hAnsi="Times New Roman" w:eastAsia="Times New Roman" w:cs="Times New Roman"/>
          <w:spacing w:val="-10"/>
          <w:sz w:val="28"/>
          <w:szCs w:val="28"/>
          <w:lang w:eastAsia="ru-RU"/>
        </w:rPr>
        <w:t xml:space="preserve"> - прямые лучи, </w:t>
      </w:r>
      <w:r>
        <w:rPr>
          <w:rFonts w:ascii="Times New Roman" w:hAnsi="Times New Roman" w:eastAsia="Times New Roman" w:cs="Times New Roman"/>
          <w:spacing w:val="-10"/>
          <w:sz w:val="28"/>
          <w:szCs w:val="28"/>
          <w:lang w:val="en-US" w:eastAsia="ru-RU"/>
        </w:rPr>
        <w:t>d</w:t>
      </w:r>
      <w:r>
        <w:rPr>
          <w:rFonts w:ascii="Times New Roman" w:hAnsi="Times New Roman" w:eastAsia="Times New Roman" w:cs="Times New Roman"/>
          <w:spacing w:val="-10"/>
          <w:sz w:val="28"/>
          <w:szCs w:val="28"/>
          <w:lang w:eastAsia="ru-RU"/>
        </w:rPr>
        <w:t xml:space="preserve"> - рассеянное излучение; t - полное излучение; h - горизонтальная площадка; с - приемная площадка</w:t>
      </w:r>
    </w:p>
    <w:p w14:paraId="417B53F9">
      <w:pPr>
        <w:tabs>
          <w:tab w:val="left" w:pos="7920"/>
          <w:tab w:val="left" w:pos="8190"/>
        </w:tabs>
        <w:spacing w:after="0" w:line="360" w:lineRule="auto"/>
        <w:ind w:right="879"/>
        <w:jc w:val="center"/>
        <w:rPr>
          <w:rFonts w:ascii="Times New Roman" w:hAnsi="Times New Roman" w:eastAsia="Times New Roman" w:cs="Times New Roman"/>
          <w:spacing w:val="-10"/>
          <w:sz w:val="28"/>
          <w:szCs w:val="28"/>
          <w:lang w:eastAsia="ru-RU"/>
        </w:rPr>
      </w:pPr>
    </w:p>
    <w:p w14:paraId="4E65D40C">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4.2. Классификация и типы солнечных батарей (модулей)</w:t>
      </w:r>
    </w:p>
    <w:p w14:paraId="6EC03246">
      <w:pPr>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Эффективность солнечных систем: Подробный анализ</w:t>
      </w:r>
    </w:p>
    <w:p w14:paraId="70DA515A">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Солнечные панели представляют собой один из ключевых элементов возобновляемой энергетики, предлагая устойчивый и экологически чистый источник энергии. Рассмотрим подробный анализ эффективности различных солнечных систем, с учетом статистических показателей и преимуществ.</w:t>
      </w:r>
    </w:p>
    <w:p w14:paraId="3A2D1B00">
      <w:pPr>
        <w:spacing w:after="0" w:line="240" w:lineRule="auto"/>
        <w:jc w:val="right"/>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Таблица 1 </w:t>
      </w:r>
    </w:p>
    <w:p w14:paraId="6078257D">
      <w:pPr>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Типы солнечных панелей и их характеристики</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276"/>
        <w:gridCol w:w="2835"/>
        <w:gridCol w:w="2268"/>
        <w:gridCol w:w="1128"/>
      </w:tblGrid>
      <w:tr w14:paraId="06DD8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DEEAF6" w:themeFill="accent1" w:themeFillTint="33"/>
          </w:tcPr>
          <w:p w14:paraId="4E735FD0">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Тип панелей</w:t>
            </w:r>
          </w:p>
        </w:tc>
        <w:tc>
          <w:tcPr>
            <w:tcW w:w="1276" w:type="dxa"/>
            <w:shd w:val="clear" w:color="auto" w:fill="DEEAF6" w:themeFill="accent1" w:themeFillTint="33"/>
          </w:tcPr>
          <w:p w14:paraId="4FC4CD1B">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Эффективность</w:t>
            </w:r>
          </w:p>
        </w:tc>
        <w:tc>
          <w:tcPr>
            <w:tcW w:w="2835" w:type="dxa"/>
            <w:shd w:val="clear" w:color="auto" w:fill="DEEAF6" w:themeFill="accent1" w:themeFillTint="33"/>
          </w:tcPr>
          <w:p w14:paraId="6B745C4F">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Преимущества</w:t>
            </w:r>
          </w:p>
        </w:tc>
        <w:tc>
          <w:tcPr>
            <w:tcW w:w="2268" w:type="dxa"/>
            <w:shd w:val="clear" w:color="auto" w:fill="DEEAF6" w:themeFill="accent1" w:themeFillTint="33"/>
          </w:tcPr>
          <w:p w14:paraId="0E8EA787">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Недостатки</w:t>
            </w:r>
          </w:p>
        </w:tc>
        <w:tc>
          <w:tcPr>
            <w:tcW w:w="1128" w:type="dxa"/>
            <w:shd w:val="clear" w:color="auto" w:fill="DEEAF6" w:themeFill="accent1" w:themeFillTint="33"/>
          </w:tcPr>
          <w:p w14:paraId="70C03AC4">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Доля на рынке</w:t>
            </w:r>
          </w:p>
        </w:tc>
      </w:tr>
      <w:tr w14:paraId="48C16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FEF2CC" w:themeFill="accent4" w:themeFillTint="33"/>
          </w:tcPr>
          <w:p w14:paraId="60AB84D7">
            <w:pPr>
              <w:spacing w:after="0" w:line="240" w:lineRule="auto"/>
              <w:rPr>
                <w:rFonts w:ascii="Times New Roman" w:hAnsi="Times New Roman" w:cs="Times New Roman"/>
                <w:sz w:val="26"/>
                <w:szCs w:val="26"/>
              </w:rPr>
            </w:pPr>
            <w:r>
              <w:rPr>
                <w:rFonts w:ascii="Times New Roman" w:hAnsi="Times New Roman" w:cs="Times New Roman"/>
                <w:sz w:val="26"/>
                <w:szCs w:val="26"/>
              </w:rPr>
              <w:t>Монокристаллические</w:t>
            </w:r>
          </w:p>
        </w:tc>
        <w:tc>
          <w:tcPr>
            <w:tcW w:w="1276" w:type="dxa"/>
            <w:shd w:val="clear" w:color="auto" w:fill="FEF2CC" w:themeFill="accent4" w:themeFillTint="33"/>
          </w:tcPr>
          <w:p w14:paraId="6F34E181">
            <w:pPr>
              <w:spacing w:after="0" w:line="240" w:lineRule="auto"/>
              <w:rPr>
                <w:rFonts w:ascii="Times New Roman" w:hAnsi="Times New Roman" w:cs="Times New Roman"/>
                <w:sz w:val="26"/>
                <w:szCs w:val="26"/>
              </w:rPr>
            </w:pPr>
            <w:r>
              <w:rPr>
                <w:rFonts w:ascii="Times New Roman" w:hAnsi="Times New Roman" w:cs="Times New Roman"/>
                <w:sz w:val="26"/>
                <w:szCs w:val="26"/>
              </w:rPr>
              <w:t>18-22%</w:t>
            </w:r>
          </w:p>
        </w:tc>
        <w:tc>
          <w:tcPr>
            <w:tcW w:w="2835" w:type="dxa"/>
            <w:shd w:val="clear" w:color="auto" w:fill="FEF2CC" w:themeFill="accent4" w:themeFillTint="33"/>
          </w:tcPr>
          <w:p w14:paraId="4C53E38E">
            <w:pPr>
              <w:spacing w:after="0" w:line="240" w:lineRule="auto"/>
              <w:rPr>
                <w:rFonts w:ascii="Times New Roman" w:hAnsi="Times New Roman" w:cs="Times New Roman"/>
                <w:sz w:val="26"/>
                <w:szCs w:val="26"/>
              </w:rPr>
            </w:pPr>
            <w:r>
              <w:rPr>
                <w:rFonts w:ascii="Times New Roman" w:hAnsi="Times New Roman" w:cs="Times New Roman"/>
                <w:sz w:val="26"/>
                <w:szCs w:val="26"/>
              </w:rPr>
              <w:t>Высокая производительность, длительный срок службы, компактность</w:t>
            </w:r>
          </w:p>
        </w:tc>
        <w:tc>
          <w:tcPr>
            <w:tcW w:w="2268" w:type="dxa"/>
            <w:shd w:val="clear" w:color="auto" w:fill="FEF2CC" w:themeFill="accent4" w:themeFillTint="33"/>
          </w:tcPr>
          <w:p w14:paraId="7140DE72">
            <w:pPr>
              <w:spacing w:after="0" w:line="240" w:lineRule="auto"/>
              <w:rPr>
                <w:rFonts w:ascii="Times New Roman" w:hAnsi="Times New Roman" w:cs="Times New Roman"/>
                <w:sz w:val="26"/>
                <w:szCs w:val="26"/>
              </w:rPr>
            </w:pPr>
            <w:r>
              <w:rPr>
                <w:rFonts w:ascii="Times New Roman" w:hAnsi="Times New Roman" w:cs="Times New Roman"/>
                <w:sz w:val="26"/>
                <w:szCs w:val="26"/>
              </w:rPr>
              <w:t>Высокая стоимость производства</w:t>
            </w:r>
          </w:p>
        </w:tc>
        <w:tc>
          <w:tcPr>
            <w:tcW w:w="1128" w:type="dxa"/>
            <w:shd w:val="clear" w:color="auto" w:fill="FEF2CC" w:themeFill="accent4" w:themeFillTint="33"/>
          </w:tcPr>
          <w:p w14:paraId="3BE2FDEC">
            <w:pPr>
              <w:spacing w:after="0" w:line="240" w:lineRule="auto"/>
              <w:rPr>
                <w:rFonts w:ascii="Times New Roman" w:hAnsi="Times New Roman" w:cs="Times New Roman"/>
                <w:sz w:val="26"/>
                <w:szCs w:val="26"/>
              </w:rPr>
            </w:pPr>
            <w:r>
              <w:rPr>
                <w:rFonts w:ascii="Times New Roman" w:hAnsi="Times New Roman" w:cs="Times New Roman"/>
                <w:sz w:val="26"/>
                <w:szCs w:val="26"/>
              </w:rPr>
              <w:t>50%</w:t>
            </w:r>
          </w:p>
        </w:tc>
      </w:tr>
      <w:tr w14:paraId="6A127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E2EFD9" w:themeFill="accent6" w:themeFillTint="33"/>
          </w:tcPr>
          <w:p w14:paraId="39AC52B1">
            <w:pPr>
              <w:spacing w:after="0" w:line="240" w:lineRule="auto"/>
              <w:rPr>
                <w:rFonts w:ascii="Times New Roman" w:hAnsi="Times New Roman" w:cs="Times New Roman"/>
                <w:sz w:val="26"/>
                <w:szCs w:val="26"/>
              </w:rPr>
            </w:pPr>
            <w:r>
              <w:rPr>
                <w:rFonts w:ascii="Times New Roman" w:hAnsi="Times New Roman" w:cs="Times New Roman"/>
                <w:sz w:val="26"/>
                <w:szCs w:val="26"/>
              </w:rPr>
              <w:t>Поликристаллические</w:t>
            </w:r>
          </w:p>
        </w:tc>
        <w:tc>
          <w:tcPr>
            <w:tcW w:w="1276" w:type="dxa"/>
            <w:shd w:val="clear" w:color="auto" w:fill="E2EFD9" w:themeFill="accent6" w:themeFillTint="33"/>
          </w:tcPr>
          <w:p w14:paraId="0E3E887E">
            <w:pPr>
              <w:spacing w:after="0" w:line="240" w:lineRule="auto"/>
              <w:rPr>
                <w:rFonts w:ascii="Times New Roman" w:hAnsi="Times New Roman" w:cs="Times New Roman"/>
                <w:sz w:val="26"/>
                <w:szCs w:val="26"/>
              </w:rPr>
            </w:pPr>
            <w:r>
              <w:rPr>
                <w:rFonts w:ascii="Times New Roman" w:hAnsi="Times New Roman" w:cs="Times New Roman"/>
                <w:sz w:val="26"/>
                <w:szCs w:val="26"/>
              </w:rPr>
              <w:t>15-18%</w:t>
            </w:r>
          </w:p>
        </w:tc>
        <w:tc>
          <w:tcPr>
            <w:tcW w:w="2835" w:type="dxa"/>
            <w:shd w:val="clear" w:color="auto" w:fill="E2EFD9" w:themeFill="accent6" w:themeFillTint="33"/>
          </w:tcPr>
          <w:p w14:paraId="2CD19BDC">
            <w:pPr>
              <w:spacing w:after="0" w:line="240" w:lineRule="auto"/>
              <w:rPr>
                <w:rFonts w:ascii="Times New Roman" w:hAnsi="Times New Roman" w:cs="Times New Roman"/>
                <w:sz w:val="26"/>
                <w:szCs w:val="26"/>
              </w:rPr>
            </w:pPr>
            <w:r>
              <w:rPr>
                <w:rFonts w:ascii="Times New Roman" w:hAnsi="Times New Roman" w:cs="Times New Roman"/>
                <w:sz w:val="26"/>
                <w:szCs w:val="26"/>
              </w:rPr>
              <w:t>Низкая стоимость производства, достаточно высокая производительность</w:t>
            </w:r>
          </w:p>
        </w:tc>
        <w:tc>
          <w:tcPr>
            <w:tcW w:w="2268" w:type="dxa"/>
            <w:shd w:val="clear" w:color="auto" w:fill="E2EFD9" w:themeFill="accent6" w:themeFillTint="33"/>
          </w:tcPr>
          <w:p w14:paraId="09AD9832">
            <w:pPr>
              <w:spacing w:after="0" w:line="240" w:lineRule="auto"/>
              <w:rPr>
                <w:rFonts w:ascii="Times New Roman" w:hAnsi="Times New Roman" w:cs="Times New Roman"/>
                <w:sz w:val="26"/>
                <w:szCs w:val="26"/>
              </w:rPr>
            </w:pPr>
            <w:r>
              <w:rPr>
                <w:rFonts w:ascii="Times New Roman" w:hAnsi="Times New Roman" w:cs="Times New Roman"/>
                <w:sz w:val="26"/>
                <w:szCs w:val="26"/>
              </w:rPr>
              <w:t>Меньшая эффективность по сравнению с монокристаллическими</w:t>
            </w:r>
          </w:p>
        </w:tc>
        <w:tc>
          <w:tcPr>
            <w:tcW w:w="1128" w:type="dxa"/>
            <w:shd w:val="clear" w:color="auto" w:fill="E2EFD9" w:themeFill="accent6" w:themeFillTint="33"/>
          </w:tcPr>
          <w:p w14:paraId="6AF4E3DB">
            <w:pPr>
              <w:spacing w:after="0" w:line="240" w:lineRule="auto"/>
              <w:rPr>
                <w:rFonts w:ascii="Times New Roman" w:hAnsi="Times New Roman" w:cs="Times New Roman"/>
                <w:sz w:val="26"/>
                <w:szCs w:val="26"/>
              </w:rPr>
            </w:pPr>
            <w:r>
              <w:rPr>
                <w:rFonts w:ascii="Times New Roman" w:hAnsi="Times New Roman" w:cs="Times New Roman"/>
                <w:sz w:val="26"/>
                <w:szCs w:val="26"/>
              </w:rPr>
              <w:t>40%</w:t>
            </w:r>
          </w:p>
        </w:tc>
      </w:tr>
      <w:tr w14:paraId="17B28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FEF2CC" w:themeFill="accent4" w:themeFillTint="33"/>
          </w:tcPr>
          <w:p w14:paraId="449FE9E6">
            <w:pPr>
              <w:spacing w:after="0" w:line="240" w:lineRule="auto"/>
              <w:rPr>
                <w:rFonts w:ascii="Times New Roman" w:hAnsi="Times New Roman" w:cs="Times New Roman"/>
                <w:sz w:val="26"/>
                <w:szCs w:val="26"/>
              </w:rPr>
            </w:pPr>
            <w:r>
              <w:rPr>
                <w:rFonts w:ascii="Times New Roman" w:hAnsi="Times New Roman" w:cs="Times New Roman"/>
                <w:sz w:val="26"/>
                <w:szCs w:val="26"/>
              </w:rPr>
              <w:t>Тонкопленочные (аморфные)</w:t>
            </w:r>
          </w:p>
        </w:tc>
        <w:tc>
          <w:tcPr>
            <w:tcW w:w="1276" w:type="dxa"/>
            <w:shd w:val="clear" w:color="auto" w:fill="FEF2CC" w:themeFill="accent4" w:themeFillTint="33"/>
          </w:tcPr>
          <w:p w14:paraId="0A74026E">
            <w:pPr>
              <w:spacing w:after="0" w:line="240" w:lineRule="auto"/>
              <w:rPr>
                <w:rFonts w:ascii="Times New Roman" w:hAnsi="Times New Roman" w:cs="Times New Roman"/>
                <w:sz w:val="26"/>
                <w:szCs w:val="26"/>
              </w:rPr>
            </w:pPr>
            <w:r>
              <w:rPr>
                <w:rFonts w:ascii="Times New Roman" w:hAnsi="Times New Roman" w:cs="Times New Roman"/>
                <w:sz w:val="26"/>
                <w:szCs w:val="26"/>
              </w:rPr>
              <w:t>10-12%</w:t>
            </w:r>
          </w:p>
        </w:tc>
        <w:tc>
          <w:tcPr>
            <w:tcW w:w="2835" w:type="dxa"/>
            <w:shd w:val="clear" w:color="auto" w:fill="FEF2CC" w:themeFill="accent4" w:themeFillTint="33"/>
          </w:tcPr>
          <w:p w14:paraId="6E530B3F">
            <w:pPr>
              <w:spacing w:after="0" w:line="240" w:lineRule="auto"/>
              <w:rPr>
                <w:rFonts w:ascii="Times New Roman" w:hAnsi="Times New Roman" w:cs="Times New Roman"/>
                <w:sz w:val="26"/>
                <w:szCs w:val="26"/>
              </w:rPr>
            </w:pPr>
            <w:r>
              <w:rPr>
                <w:rFonts w:ascii="Times New Roman" w:hAnsi="Times New Roman" w:cs="Times New Roman"/>
                <w:sz w:val="26"/>
                <w:szCs w:val="26"/>
              </w:rPr>
              <w:t>Гибкость в использовании, хорошая производительность при слабом освещении</w:t>
            </w:r>
          </w:p>
        </w:tc>
        <w:tc>
          <w:tcPr>
            <w:tcW w:w="2268" w:type="dxa"/>
            <w:shd w:val="clear" w:color="auto" w:fill="FEF2CC" w:themeFill="accent4" w:themeFillTint="33"/>
          </w:tcPr>
          <w:p w14:paraId="5AF8B992">
            <w:pPr>
              <w:spacing w:after="0" w:line="240" w:lineRule="auto"/>
              <w:rPr>
                <w:rFonts w:ascii="Times New Roman" w:hAnsi="Times New Roman" w:cs="Times New Roman"/>
                <w:sz w:val="26"/>
                <w:szCs w:val="26"/>
              </w:rPr>
            </w:pPr>
            <w:r>
              <w:rPr>
                <w:rFonts w:ascii="Times New Roman" w:hAnsi="Times New Roman" w:cs="Times New Roman"/>
                <w:sz w:val="26"/>
                <w:szCs w:val="26"/>
              </w:rPr>
              <w:t>Низкая эффективность, меньший срок службы</w:t>
            </w:r>
          </w:p>
        </w:tc>
        <w:tc>
          <w:tcPr>
            <w:tcW w:w="1128" w:type="dxa"/>
            <w:shd w:val="clear" w:color="auto" w:fill="FEF2CC" w:themeFill="accent4" w:themeFillTint="33"/>
          </w:tcPr>
          <w:p w14:paraId="2164F5AA">
            <w:pPr>
              <w:spacing w:after="0" w:line="240" w:lineRule="auto"/>
              <w:rPr>
                <w:rFonts w:ascii="Times New Roman" w:hAnsi="Times New Roman" w:cs="Times New Roman"/>
                <w:sz w:val="26"/>
                <w:szCs w:val="26"/>
              </w:rPr>
            </w:pPr>
            <w:r>
              <w:rPr>
                <w:rFonts w:ascii="Times New Roman" w:hAnsi="Times New Roman" w:cs="Times New Roman"/>
                <w:sz w:val="26"/>
                <w:szCs w:val="26"/>
              </w:rPr>
              <w:t>10%</w:t>
            </w:r>
          </w:p>
        </w:tc>
      </w:tr>
      <w:tr w14:paraId="1E56C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E2EFD9" w:themeFill="accent6" w:themeFillTint="33"/>
          </w:tcPr>
          <w:p w14:paraId="444737F9">
            <w:pPr>
              <w:spacing w:after="0" w:line="240" w:lineRule="auto"/>
              <w:rPr>
                <w:rFonts w:ascii="Times New Roman" w:hAnsi="Times New Roman" w:cs="Times New Roman"/>
                <w:sz w:val="26"/>
                <w:szCs w:val="26"/>
              </w:rPr>
            </w:pPr>
            <w:r>
              <w:rPr>
                <w:rFonts w:ascii="Times New Roman" w:hAnsi="Times New Roman" w:cs="Times New Roman"/>
                <w:sz w:val="26"/>
                <w:szCs w:val="26"/>
              </w:rPr>
              <w:t>Кадмий-теллурид-ные</w:t>
            </w:r>
          </w:p>
        </w:tc>
        <w:tc>
          <w:tcPr>
            <w:tcW w:w="1276" w:type="dxa"/>
            <w:shd w:val="clear" w:color="auto" w:fill="E2EFD9" w:themeFill="accent6" w:themeFillTint="33"/>
          </w:tcPr>
          <w:p w14:paraId="4D865F5D">
            <w:pPr>
              <w:spacing w:after="0" w:line="240" w:lineRule="auto"/>
              <w:rPr>
                <w:rFonts w:ascii="Times New Roman" w:hAnsi="Times New Roman" w:cs="Times New Roman"/>
                <w:sz w:val="26"/>
                <w:szCs w:val="26"/>
              </w:rPr>
            </w:pPr>
            <w:r>
              <w:rPr>
                <w:rFonts w:ascii="Times New Roman" w:hAnsi="Times New Roman" w:cs="Times New Roman"/>
                <w:sz w:val="26"/>
                <w:szCs w:val="26"/>
              </w:rPr>
              <w:t>9-11%</w:t>
            </w:r>
          </w:p>
        </w:tc>
        <w:tc>
          <w:tcPr>
            <w:tcW w:w="2835" w:type="dxa"/>
            <w:shd w:val="clear" w:color="auto" w:fill="E2EFD9" w:themeFill="accent6" w:themeFillTint="33"/>
          </w:tcPr>
          <w:p w14:paraId="7C582C66">
            <w:pPr>
              <w:spacing w:after="0" w:line="240" w:lineRule="auto"/>
              <w:rPr>
                <w:rFonts w:ascii="Times New Roman" w:hAnsi="Times New Roman" w:cs="Times New Roman"/>
                <w:sz w:val="26"/>
                <w:szCs w:val="26"/>
              </w:rPr>
            </w:pPr>
            <w:r>
              <w:rPr>
                <w:rFonts w:ascii="Times New Roman" w:hAnsi="Times New Roman" w:cs="Times New Roman"/>
                <w:sz w:val="26"/>
                <w:szCs w:val="26"/>
              </w:rPr>
              <w:t>Низкая стоимость, хорошая производительность при высоких температурах</w:t>
            </w:r>
          </w:p>
        </w:tc>
        <w:tc>
          <w:tcPr>
            <w:tcW w:w="2268" w:type="dxa"/>
            <w:shd w:val="clear" w:color="auto" w:fill="E2EFD9" w:themeFill="accent6" w:themeFillTint="33"/>
          </w:tcPr>
          <w:p w14:paraId="23D4196A">
            <w:pPr>
              <w:spacing w:after="0" w:line="240" w:lineRule="auto"/>
              <w:rPr>
                <w:rFonts w:ascii="Times New Roman" w:hAnsi="Times New Roman" w:cs="Times New Roman"/>
                <w:sz w:val="26"/>
                <w:szCs w:val="26"/>
              </w:rPr>
            </w:pPr>
            <w:r>
              <w:rPr>
                <w:rFonts w:ascii="Times New Roman" w:hAnsi="Times New Roman" w:cs="Times New Roman"/>
                <w:sz w:val="26"/>
                <w:szCs w:val="26"/>
              </w:rPr>
              <w:t>Токсичность материалов, ограниченные ресурсы кадмия</w:t>
            </w:r>
          </w:p>
        </w:tc>
        <w:tc>
          <w:tcPr>
            <w:tcW w:w="1128" w:type="dxa"/>
            <w:shd w:val="clear" w:color="auto" w:fill="E2EFD9" w:themeFill="accent6" w:themeFillTint="33"/>
          </w:tcPr>
          <w:p w14:paraId="4E17E9C1">
            <w:pPr>
              <w:spacing w:after="0" w:line="240" w:lineRule="auto"/>
              <w:rPr>
                <w:rFonts w:ascii="Times New Roman" w:hAnsi="Times New Roman" w:cs="Times New Roman"/>
                <w:sz w:val="26"/>
                <w:szCs w:val="26"/>
              </w:rPr>
            </w:pPr>
            <w:r>
              <w:rPr>
                <w:rFonts w:ascii="Times New Roman" w:hAnsi="Times New Roman" w:cs="Times New Roman"/>
                <w:sz w:val="26"/>
                <w:szCs w:val="26"/>
              </w:rPr>
              <w:t>&lt;5%</w:t>
            </w:r>
          </w:p>
        </w:tc>
      </w:tr>
      <w:tr w14:paraId="680B2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FEF2CC" w:themeFill="accent4" w:themeFillTint="33"/>
          </w:tcPr>
          <w:p w14:paraId="1E825536">
            <w:pPr>
              <w:spacing w:after="0" w:line="240" w:lineRule="auto"/>
              <w:rPr>
                <w:rFonts w:ascii="Times New Roman" w:hAnsi="Times New Roman" w:cs="Times New Roman"/>
                <w:sz w:val="26"/>
                <w:szCs w:val="26"/>
              </w:rPr>
            </w:pPr>
            <w:r>
              <w:rPr>
                <w:rFonts w:ascii="Times New Roman" w:hAnsi="Times New Roman" w:cs="Times New Roman"/>
                <w:sz w:val="26"/>
                <w:szCs w:val="26"/>
              </w:rPr>
              <w:t>Медно-индий-селенидные</w:t>
            </w:r>
          </w:p>
        </w:tc>
        <w:tc>
          <w:tcPr>
            <w:tcW w:w="1276" w:type="dxa"/>
            <w:shd w:val="clear" w:color="auto" w:fill="FEF2CC" w:themeFill="accent4" w:themeFillTint="33"/>
          </w:tcPr>
          <w:p w14:paraId="42385409">
            <w:pPr>
              <w:spacing w:after="0" w:line="240" w:lineRule="auto"/>
              <w:rPr>
                <w:rFonts w:ascii="Times New Roman" w:hAnsi="Times New Roman" w:cs="Times New Roman"/>
                <w:sz w:val="26"/>
                <w:szCs w:val="26"/>
              </w:rPr>
            </w:pPr>
            <w:r>
              <w:rPr>
                <w:rFonts w:ascii="Times New Roman" w:hAnsi="Times New Roman" w:cs="Times New Roman"/>
                <w:sz w:val="26"/>
                <w:szCs w:val="26"/>
              </w:rPr>
              <w:t>10-12%</w:t>
            </w:r>
          </w:p>
        </w:tc>
        <w:tc>
          <w:tcPr>
            <w:tcW w:w="2835" w:type="dxa"/>
            <w:shd w:val="clear" w:color="auto" w:fill="FEF2CC" w:themeFill="accent4" w:themeFillTint="33"/>
          </w:tcPr>
          <w:p w14:paraId="2DBCF960">
            <w:pPr>
              <w:spacing w:after="0" w:line="240" w:lineRule="auto"/>
              <w:rPr>
                <w:rFonts w:ascii="Times New Roman" w:hAnsi="Times New Roman" w:cs="Times New Roman"/>
                <w:sz w:val="26"/>
                <w:szCs w:val="26"/>
              </w:rPr>
            </w:pPr>
            <w:r>
              <w:rPr>
                <w:rFonts w:ascii="Times New Roman" w:hAnsi="Times New Roman" w:cs="Times New Roman"/>
                <w:sz w:val="26"/>
                <w:szCs w:val="26"/>
              </w:rPr>
              <w:t>Высокая производительность при слабом освещении, гибкость</w:t>
            </w:r>
          </w:p>
        </w:tc>
        <w:tc>
          <w:tcPr>
            <w:tcW w:w="2268" w:type="dxa"/>
            <w:shd w:val="clear" w:color="auto" w:fill="FEF2CC" w:themeFill="accent4" w:themeFillTint="33"/>
          </w:tcPr>
          <w:p w14:paraId="22BA2E32">
            <w:pPr>
              <w:spacing w:after="0" w:line="240" w:lineRule="auto"/>
              <w:rPr>
                <w:rFonts w:ascii="Times New Roman" w:hAnsi="Times New Roman" w:cs="Times New Roman"/>
                <w:sz w:val="26"/>
                <w:szCs w:val="26"/>
              </w:rPr>
            </w:pPr>
            <w:r>
              <w:rPr>
                <w:rFonts w:ascii="Times New Roman" w:hAnsi="Times New Roman" w:cs="Times New Roman"/>
                <w:sz w:val="26"/>
                <w:szCs w:val="26"/>
              </w:rPr>
              <w:t>Высокая стоимость, сложность производства</w:t>
            </w:r>
          </w:p>
        </w:tc>
        <w:tc>
          <w:tcPr>
            <w:tcW w:w="1128" w:type="dxa"/>
            <w:shd w:val="clear" w:color="auto" w:fill="FEF2CC" w:themeFill="accent4" w:themeFillTint="33"/>
          </w:tcPr>
          <w:p w14:paraId="149CA4B8">
            <w:pPr>
              <w:spacing w:after="0" w:line="240" w:lineRule="auto"/>
              <w:rPr>
                <w:rFonts w:ascii="Times New Roman" w:hAnsi="Times New Roman" w:cs="Times New Roman"/>
                <w:sz w:val="26"/>
                <w:szCs w:val="26"/>
              </w:rPr>
            </w:pPr>
            <w:r>
              <w:rPr>
                <w:rFonts w:ascii="Times New Roman" w:hAnsi="Times New Roman" w:cs="Times New Roman"/>
                <w:sz w:val="26"/>
                <w:szCs w:val="26"/>
              </w:rPr>
              <w:t>&lt;5%</w:t>
            </w:r>
          </w:p>
        </w:tc>
      </w:tr>
      <w:tr w14:paraId="4A12F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E2EFD9" w:themeFill="accent6" w:themeFillTint="33"/>
          </w:tcPr>
          <w:p w14:paraId="7211CE1B">
            <w:pPr>
              <w:spacing w:after="0" w:line="240" w:lineRule="auto"/>
              <w:rPr>
                <w:rFonts w:ascii="Times New Roman" w:hAnsi="Times New Roman" w:cs="Times New Roman"/>
                <w:sz w:val="26"/>
                <w:szCs w:val="26"/>
              </w:rPr>
            </w:pPr>
            <w:r>
              <w:rPr>
                <w:rFonts w:ascii="Times New Roman" w:hAnsi="Times New Roman" w:cs="Times New Roman"/>
                <w:sz w:val="26"/>
                <w:szCs w:val="26"/>
              </w:rPr>
              <w:t>Гибридные</w:t>
            </w:r>
          </w:p>
        </w:tc>
        <w:tc>
          <w:tcPr>
            <w:tcW w:w="1276" w:type="dxa"/>
            <w:shd w:val="clear" w:color="auto" w:fill="E2EFD9" w:themeFill="accent6" w:themeFillTint="33"/>
          </w:tcPr>
          <w:p w14:paraId="263B142A">
            <w:pPr>
              <w:spacing w:after="0" w:line="240" w:lineRule="auto"/>
              <w:rPr>
                <w:rFonts w:ascii="Times New Roman" w:hAnsi="Times New Roman" w:cs="Times New Roman"/>
                <w:sz w:val="26"/>
                <w:szCs w:val="26"/>
              </w:rPr>
            </w:pPr>
            <w:r>
              <w:rPr>
                <w:rFonts w:ascii="Times New Roman" w:hAnsi="Times New Roman" w:cs="Times New Roman"/>
                <w:sz w:val="26"/>
                <w:szCs w:val="26"/>
              </w:rPr>
              <w:t>25-28%</w:t>
            </w:r>
          </w:p>
        </w:tc>
        <w:tc>
          <w:tcPr>
            <w:tcW w:w="2835" w:type="dxa"/>
            <w:shd w:val="clear" w:color="auto" w:fill="E2EFD9" w:themeFill="accent6" w:themeFillTint="33"/>
          </w:tcPr>
          <w:p w14:paraId="3AE62CD7">
            <w:pPr>
              <w:spacing w:after="0" w:line="240" w:lineRule="auto"/>
              <w:rPr>
                <w:rFonts w:ascii="Times New Roman" w:hAnsi="Times New Roman" w:cs="Times New Roman"/>
                <w:sz w:val="26"/>
                <w:szCs w:val="26"/>
              </w:rPr>
            </w:pPr>
            <w:r>
              <w:rPr>
                <w:rFonts w:ascii="Times New Roman" w:hAnsi="Times New Roman" w:cs="Times New Roman"/>
                <w:sz w:val="26"/>
                <w:szCs w:val="26"/>
              </w:rPr>
              <w:t>Сочетание преимуществ различных типов панелей, высокая эффективность</w:t>
            </w:r>
          </w:p>
        </w:tc>
        <w:tc>
          <w:tcPr>
            <w:tcW w:w="2268" w:type="dxa"/>
            <w:shd w:val="clear" w:color="auto" w:fill="E2EFD9" w:themeFill="accent6" w:themeFillTint="33"/>
          </w:tcPr>
          <w:p w14:paraId="10767FD7">
            <w:pPr>
              <w:spacing w:after="0" w:line="240" w:lineRule="auto"/>
              <w:rPr>
                <w:rFonts w:ascii="Times New Roman" w:hAnsi="Times New Roman" w:cs="Times New Roman"/>
                <w:sz w:val="26"/>
                <w:szCs w:val="26"/>
              </w:rPr>
            </w:pPr>
            <w:r>
              <w:rPr>
                <w:rFonts w:ascii="Times New Roman" w:hAnsi="Times New Roman" w:cs="Times New Roman"/>
                <w:sz w:val="26"/>
                <w:szCs w:val="26"/>
              </w:rPr>
              <w:t>Очень высокая стоимость, сложность производства</w:t>
            </w:r>
          </w:p>
        </w:tc>
        <w:tc>
          <w:tcPr>
            <w:tcW w:w="1128" w:type="dxa"/>
            <w:shd w:val="clear" w:color="auto" w:fill="E2EFD9" w:themeFill="accent6" w:themeFillTint="33"/>
          </w:tcPr>
          <w:p w14:paraId="43A91446">
            <w:pPr>
              <w:spacing w:after="0" w:line="240" w:lineRule="auto"/>
              <w:rPr>
                <w:rFonts w:ascii="Times New Roman" w:hAnsi="Times New Roman" w:cs="Times New Roman"/>
                <w:sz w:val="26"/>
                <w:szCs w:val="26"/>
              </w:rPr>
            </w:pPr>
            <w:r>
              <w:rPr>
                <w:rFonts w:ascii="Times New Roman" w:hAnsi="Times New Roman" w:cs="Times New Roman"/>
                <w:sz w:val="26"/>
                <w:szCs w:val="26"/>
              </w:rPr>
              <w:t>&lt;1%</w:t>
            </w:r>
          </w:p>
        </w:tc>
      </w:tr>
      <w:tr w14:paraId="3B2D9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FEF2CC" w:themeFill="accent4" w:themeFillTint="33"/>
          </w:tcPr>
          <w:p w14:paraId="2A587041">
            <w:pPr>
              <w:spacing w:after="0" w:line="240" w:lineRule="auto"/>
              <w:rPr>
                <w:rFonts w:ascii="Times New Roman" w:hAnsi="Times New Roman" w:cs="Times New Roman"/>
                <w:sz w:val="26"/>
                <w:szCs w:val="26"/>
              </w:rPr>
            </w:pPr>
            <w:r>
              <w:rPr>
                <w:rFonts w:ascii="Times New Roman" w:hAnsi="Times New Roman" w:cs="Times New Roman"/>
                <w:sz w:val="26"/>
                <w:szCs w:val="26"/>
              </w:rPr>
              <w:t>Органи-ческие</w:t>
            </w:r>
          </w:p>
        </w:tc>
        <w:tc>
          <w:tcPr>
            <w:tcW w:w="1276" w:type="dxa"/>
            <w:shd w:val="clear" w:color="auto" w:fill="FEF2CC" w:themeFill="accent4" w:themeFillTint="33"/>
          </w:tcPr>
          <w:p w14:paraId="207FEABF">
            <w:pPr>
              <w:spacing w:after="0" w:line="240" w:lineRule="auto"/>
              <w:rPr>
                <w:rFonts w:ascii="Times New Roman" w:hAnsi="Times New Roman" w:cs="Times New Roman"/>
                <w:sz w:val="26"/>
                <w:szCs w:val="26"/>
              </w:rPr>
            </w:pPr>
            <w:r>
              <w:rPr>
                <w:rFonts w:ascii="Times New Roman" w:hAnsi="Times New Roman" w:cs="Times New Roman"/>
                <w:sz w:val="26"/>
                <w:szCs w:val="26"/>
              </w:rPr>
              <w:t>5-10%</w:t>
            </w:r>
          </w:p>
        </w:tc>
        <w:tc>
          <w:tcPr>
            <w:tcW w:w="2835" w:type="dxa"/>
            <w:shd w:val="clear" w:color="auto" w:fill="FEF2CC" w:themeFill="accent4" w:themeFillTint="33"/>
          </w:tcPr>
          <w:p w14:paraId="5F4493A0">
            <w:pPr>
              <w:spacing w:after="0" w:line="240" w:lineRule="auto"/>
              <w:rPr>
                <w:rFonts w:ascii="Times New Roman" w:hAnsi="Times New Roman" w:cs="Times New Roman"/>
                <w:sz w:val="26"/>
                <w:szCs w:val="26"/>
              </w:rPr>
            </w:pPr>
            <w:r>
              <w:rPr>
                <w:rFonts w:ascii="Times New Roman" w:hAnsi="Times New Roman" w:cs="Times New Roman"/>
                <w:sz w:val="26"/>
                <w:szCs w:val="26"/>
              </w:rPr>
              <w:t>Легкость и гибкость, низкая стоимость производства</w:t>
            </w:r>
          </w:p>
        </w:tc>
        <w:tc>
          <w:tcPr>
            <w:tcW w:w="2268" w:type="dxa"/>
            <w:shd w:val="clear" w:color="auto" w:fill="FEF2CC" w:themeFill="accent4" w:themeFillTint="33"/>
          </w:tcPr>
          <w:p w14:paraId="3756FDF7">
            <w:pPr>
              <w:spacing w:after="0" w:line="240" w:lineRule="auto"/>
              <w:rPr>
                <w:rFonts w:ascii="Times New Roman" w:hAnsi="Times New Roman" w:cs="Times New Roman"/>
                <w:sz w:val="26"/>
                <w:szCs w:val="26"/>
              </w:rPr>
            </w:pPr>
            <w:r>
              <w:rPr>
                <w:rFonts w:ascii="Times New Roman" w:hAnsi="Times New Roman" w:cs="Times New Roman"/>
                <w:sz w:val="26"/>
                <w:szCs w:val="26"/>
              </w:rPr>
              <w:t>Низкая эффективность, короткий срок службы, еще находятся на стадии разработки</w:t>
            </w:r>
          </w:p>
        </w:tc>
        <w:tc>
          <w:tcPr>
            <w:tcW w:w="1128" w:type="dxa"/>
            <w:shd w:val="clear" w:color="auto" w:fill="FEF2CC" w:themeFill="accent4" w:themeFillTint="33"/>
          </w:tcPr>
          <w:p w14:paraId="1121E213">
            <w:pPr>
              <w:spacing w:after="0" w:line="240" w:lineRule="auto"/>
              <w:rPr>
                <w:rFonts w:ascii="Times New Roman" w:hAnsi="Times New Roman" w:cs="Times New Roman"/>
                <w:sz w:val="26"/>
                <w:szCs w:val="26"/>
              </w:rPr>
            </w:pPr>
            <w:r>
              <w:rPr>
                <w:rFonts w:ascii="Times New Roman" w:hAnsi="Times New Roman" w:cs="Times New Roman"/>
                <w:sz w:val="26"/>
                <w:szCs w:val="26"/>
              </w:rPr>
              <w:t>&lt;1%</w:t>
            </w:r>
          </w:p>
        </w:tc>
      </w:tr>
      <w:tr w14:paraId="4CCFD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shd w:val="clear" w:color="auto" w:fill="E2EFD9" w:themeFill="accent6" w:themeFillTint="33"/>
          </w:tcPr>
          <w:p w14:paraId="3F09B938">
            <w:pPr>
              <w:spacing w:after="0" w:line="240" w:lineRule="auto"/>
              <w:rPr>
                <w:rFonts w:ascii="Times New Roman" w:hAnsi="Times New Roman" w:cs="Times New Roman"/>
                <w:sz w:val="26"/>
                <w:szCs w:val="26"/>
              </w:rPr>
            </w:pPr>
            <w:r>
              <w:rPr>
                <w:rFonts w:ascii="Times New Roman" w:hAnsi="Times New Roman" w:cs="Times New Roman"/>
                <w:sz w:val="26"/>
                <w:szCs w:val="26"/>
              </w:rPr>
              <w:t>Перовскит-ные</w:t>
            </w:r>
          </w:p>
        </w:tc>
        <w:tc>
          <w:tcPr>
            <w:tcW w:w="1276" w:type="dxa"/>
            <w:shd w:val="clear" w:color="auto" w:fill="E2EFD9" w:themeFill="accent6" w:themeFillTint="33"/>
          </w:tcPr>
          <w:p w14:paraId="5BCC3EC2">
            <w:pPr>
              <w:spacing w:after="0" w:line="240" w:lineRule="auto"/>
              <w:rPr>
                <w:rFonts w:ascii="Times New Roman" w:hAnsi="Times New Roman" w:cs="Times New Roman"/>
                <w:sz w:val="26"/>
                <w:szCs w:val="26"/>
              </w:rPr>
            </w:pPr>
            <w:r>
              <w:rPr>
                <w:rFonts w:ascii="Times New Roman" w:hAnsi="Times New Roman" w:cs="Times New Roman"/>
                <w:sz w:val="26"/>
                <w:szCs w:val="26"/>
              </w:rPr>
              <w:t>15-20%</w:t>
            </w:r>
          </w:p>
        </w:tc>
        <w:tc>
          <w:tcPr>
            <w:tcW w:w="2835" w:type="dxa"/>
            <w:shd w:val="clear" w:color="auto" w:fill="E2EFD9" w:themeFill="accent6" w:themeFillTint="33"/>
          </w:tcPr>
          <w:p w14:paraId="009F4178">
            <w:pPr>
              <w:spacing w:after="0" w:line="240" w:lineRule="auto"/>
              <w:rPr>
                <w:rFonts w:ascii="Times New Roman" w:hAnsi="Times New Roman" w:cs="Times New Roman"/>
                <w:sz w:val="26"/>
                <w:szCs w:val="26"/>
              </w:rPr>
            </w:pPr>
            <w:r>
              <w:rPr>
                <w:rFonts w:ascii="Times New Roman" w:hAnsi="Times New Roman" w:cs="Times New Roman"/>
                <w:sz w:val="26"/>
                <w:szCs w:val="26"/>
              </w:rPr>
              <w:t>Высокий потенциал эффективности, низкая стоимость, легкость</w:t>
            </w:r>
          </w:p>
        </w:tc>
        <w:tc>
          <w:tcPr>
            <w:tcW w:w="2268" w:type="dxa"/>
            <w:shd w:val="clear" w:color="auto" w:fill="E2EFD9" w:themeFill="accent6" w:themeFillTint="33"/>
          </w:tcPr>
          <w:p w14:paraId="53DD6E66">
            <w:pPr>
              <w:spacing w:after="0" w:line="240" w:lineRule="auto"/>
              <w:rPr>
                <w:rFonts w:ascii="Times New Roman" w:hAnsi="Times New Roman" w:cs="Times New Roman"/>
                <w:sz w:val="26"/>
                <w:szCs w:val="26"/>
              </w:rPr>
            </w:pPr>
            <w:r>
              <w:rPr>
                <w:rFonts w:ascii="Times New Roman" w:hAnsi="Times New Roman" w:cs="Times New Roman"/>
                <w:sz w:val="26"/>
                <w:szCs w:val="26"/>
              </w:rPr>
              <w:t>Недостаточно изученная долговечность и стабильность</w:t>
            </w:r>
          </w:p>
        </w:tc>
        <w:tc>
          <w:tcPr>
            <w:tcW w:w="1128" w:type="dxa"/>
            <w:shd w:val="clear" w:color="auto" w:fill="E2EFD9" w:themeFill="accent6" w:themeFillTint="33"/>
          </w:tcPr>
          <w:p w14:paraId="1B6316A4">
            <w:pPr>
              <w:spacing w:after="0" w:line="240" w:lineRule="auto"/>
              <w:rPr>
                <w:rFonts w:ascii="Times New Roman" w:hAnsi="Times New Roman" w:cs="Times New Roman"/>
                <w:sz w:val="26"/>
                <w:szCs w:val="26"/>
              </w:rPr>
            </w:pPr>
            <w:r>
              <w:rPr>
                <w:rFonts w:ascii="Times New Roman" w:hAnsi="Times New Roman" w:cs="Times New Roman"/>
                <w:sz w:val="26"/>
                <w:szCs w:val="26"/>
              </w:rPr>
              <w:t>&lt;1%</w:t>
            </w:r>
          </w:p>
        </w:tc>
      </w:tr>
    </w:tbl>
    <w:p w14:paraId="284C2FE7">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drawing>
          <wp:inline distT="0" distB="0" distL="0" distR="0">
            <wp:extent cx="4762500" cy="1737360"/>
            <wp:effectExtent l="0" t="0" r="0" b="0"/>
            <wp:docPr id="7" name="Рисунок 7" descr="Виды солнечных батар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Виды солнечных батаре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2500" cy="1737360"/>
                    </a:xfrm>
                    <a:prstGeom prst="rect">
                      <a:avLst/>
                    </a:prstGeom>
                    <a:noFill/>
                    <a:ln>
                      <a:noFill/>
                    </a:ln>
                  </pic:spPr>
                </pic:pic>
              </a:graphicData>
            </a:graphic>
          </wp:inline>
        </w:drawing>
      </w:r>
    </w:p>
    <w:p w14:paraId="0D3935C6">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4.5. Классификация солнечных батарей</w:t>
      </w:r>
    </w:p>
    <w:p w14:paraId="4BF6A963">
      <w:pPr>
        <w:spacing w:after="0" w:line="360" w:lineRule="auto"/>
        <w:ind w:firstLine="709"/>
        <w:jc w:val="both"/>
        <w:rPr>
          <w:rFonts w:ascii="Times New Roman" w:hAnsi="Times New Roman" w:eastAsia="Times New Roman" w:cs="Times New Roman"/>
          <w:b/>
          <w:sz w:val="28"/>
          <w:szCs w:val="28"/>
          <w:lang w:eastAsia="ru-RU"/>
        </w:rPr>
      </w:pPr>
    </w:p>
    <w:p w14:paraId="213DD14E">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Фотоэлектрические преобразователи.</w:t>
      </w:r>
      <w:r>
        <w:rPr>
          <w:rFonts w:ascii="Times New Roman" w:hAnsi="Times New Roman" w:eastAsia="Times New Roman" w:cs="Times New Roman"/>
          <w:sz w:val="28"/>
          <w:szCs w:val="28"/>
          <w:lang w:eastAsia="ru-RU"/>
        </w:rPr>
        <w:t xml:space="preserve"> Конструктивно являются полупроводниковыми устройствами для преобразования солнечной энергии напрямую в электрическую. Несколько элементов, соединенных между собой, становятся солнечной батареей, которая выглядит как панель. Принцип действия заключается в фотоэлектрическом эффекте, когда в неоднородных полупроводниковых структурах под действием солнечного света появляется электрический ток. Электрофизические характеристики полупроводников могут отличаться, что влияет и на эффективность самого преобразователя.</w:t>
      </w:r>
    </w:p>
    <w:p w14:paraId="1F0C3F5E">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Гелиоэлектростанции.</w:t>
      </w:r>
      <w:r>
        <w:rPr>
          <w:rFonts w:ascii="Times New Roman" w:hAnsi="Times New Roman" w:eastAsia="Times New Roman" w:cs="Times New Roman"/>
          <w:sz w:val="28"/>
          <w:szCs w:val="28"/>
          <w:lang w:eastAsia="ru-RU"/>
        </w:rPr>
        <w:t xml:space="preserve"> Представляют собой солнечные установки, работающие от концентрированной энергии солнца, приводящей в движение паровые, газотурбинные и другие агрегаты. Принцип работы основан на использовании обычных линз или вогнутых зеркал, собирающих и концентрирующих солнечные лучи. В фокусе размещается нагревательный элемент, температура которого постепенно увеличивается. Зеркала считаются более эффективными, поскольку дают возможность получить более мощное излучение. </w:t>
      </w:r>
    </w:p>
    <w:p w14:paraId="3804901C">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Солнечные коллекторы.</w:t>
      </w:r>
      <w:r>
        <w:rPr>
          <w:rFonts w:ascii="Times New Roman" w:hAnsi="Times New Roman" w:eastAsia="Times New Roman" w:cs="Times New Roman"/>
          <w:sz w:val="28"/>
          <w:szCs w:val="28"/>
          <w:lang w:eastAsia="ru-RU"/>
        </w:rPr>
        <w:t xml:space="preserve"> Относятся к низкотемпературным нагревательным установкам, обеспечивающим горячее водоснабжение в автономном режиме. Широко применяются и в других сферах. Мощность каждого устройства полностью зависит от его полезной площади. Они способны нагревать жидкости до температур в диапазоне 100-200С.</w:t>
      </w:r>
    </w:p>
    <w:p w14:paraId="2DE44A2E">
      <w:pPr>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Дополнительная классификация </w:t>
      </w:r>
    </w:p>
    <w:p w14:paraId="34E4400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Существует еще целый ряд признаков, позволяющих классифицировать солнечные батареи. Среди них большое значение имеет расположение атомов кремния в кристаллическом элементе. В связи с этим, можно выделить следующие типы солнечных батарей: </w:t>
      </w:r>
    </w:p>
    <w:p w14:paraId="2ADA4811">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4762500" cy="1676400"/>
            <wp:effectExtent l="0" t="0" r="0" b="0"/>
            <wp:docPr id="8" name="Рисунок 8" descr="https://electric-220.ru/_nw/16/86314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https://electric-220.ru/_nw/16/8631416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62500" cy="1676400"/>
                    </a:xfrm>
                    <a:prstGeom prst="rect">
                      <a:avLst/>
                    </a:prstGeom>
                    <a:noFill/>
                    <a:ln>
                      <a:noFill/>
                    </a:ln>
                  </pic:spPr>
                </pic:pic>
              </a:graphicData>
            </a:graphic>
          </wp:inline>
        </w:drawing>
      </w:r>
    </w:p>
    <w:p w14:paraId="6C1DDB15">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4.6. Классификация солнечных пластин</w:t>
      </w:r>
    </w:p>
    <w:p w14:paraId="519EE961">
      <w:pPr>
        <w:spacing w:after="0" w:line="360" w:lineRule="auto"/>
        <w:jc w:val="center"/>
        <w:rPr>
          <w:rFonts w:ascii="Times New Roman" w:hAnsi="Times New Roman" w:eastAsia="Times New Roman" w:cs="Times New Roman"/>
          <w:b/>
          <w:sz w:val="28"/>
          <w:szCs w:val="28"/>
          <w:lang w:eastAsia="ru-RU"/>
        </w:rPr>
      </w:pPr>
    </w:p>
    <w:p w14:paraId="286CB66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 xml:space="preserve">Монокристаллические. </w:t>
      </w:r>
      <w:r>
        <w:rPr>
          <w:rFonts w:ascii="Times New Roman" w:hAnsi="Times New Roman" w:eastAsia="Times New Roman" w:cs="Times New Roman"/>
          <w:sz w:val="28"/>
          <w:szCs w:val="28"/>
          <w:lang w:eastAsia="ru-RU"/>
        </w:rPr>
        <w:t xml:space="preserve">Для их изготовления применяется кремний высокой чистоты, получаемый промышленным способом. КПД таких батарей составляет 14-17%. </w:t>
      </w:r>
    </w:p>
    <w:p w14:paraId="46798665">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Поликристаллические.</w:t>
      </w:r>
      <w:r>
        <w:rPr>
          <w:rFonts w:ascii="Times New Roman" w:hAnsi="Times New Roman" w:eastAsia="Times New Roman" w:cs="Times New Roman"/>
          <w:sz w:val="28"/>
          <w:szCs w:val="28"/>
          <w:lang w:eastAsia="ru-RU"/>
        </w:rPr>
        <w:t xml:space="preserve"> Этот вид солнечных батарей изготавливается из кремниевого расплава, медленно охлаждаемого до нужного состояния. Данный способ значительно дешевле, а полученный кремний приобретает ярко синий цвет. КПД таких элементов ниже, в пределах 10-12%. </w:t>
      </w:r>
    </w:p>
    <w:p w14:paraId="56D5C37A">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 xml:space="preserve">Панели на основе аморфного кремния. </w:t>
      </w:r>
      <w:r>
        <w:rPr>
          <w:rFonts w:ascii="Times New Roman" w:hAnsi="Times New Roman" w:eastAsia="Times New Roman" w:cs="Times New Roman"/>
          <w:sz w:val="28"/>
          <w:szCs w:val="28"/>
          <w:lang w:eastAsia="ru-RU"/>
        </w:rPr>
        <w:t>Они относятся к категории тонкопленочных, поскольку кремний наносится на основу как очень тонкая пленка и покрывается защитным материалом. Данный метод изготовления считается наиболее дешевым и простым, но эффективность таких изделий ниже, чем в любом кристаллическом варианте. Компоненты панелей постепенно теряют свои качества. КПД находится на уровне 5-6%.</w:t>
      </w:r>
    </w:p>
    <w:p w14:paraId="6EB5E128">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Солнечные панели на основе кремния</w:t>
      </w:r>
      <w:r>
        <w:rPr>
          <w:rFonts w:ascii="Times New Roman" w:hAnsi="Times New Roman" w:eastAsia="Times New Roman" w:cs="Times New Roman"/>
          <w:sz w:val="28"/>
          <w:szCs w:val="28"/>
          <w:lang w:eastAsia="ru-RU"/>
        </w:rPr>
        <w:t xml:space="preserve"> </w:t>
      </w:r>
    </w:p>
    <w:p w14:paraId="79D6982A">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Наибольшей популярностью пользуются элементы, основой которых является монокристаллический кремний. Производство осуществляется методом литья, а новые технологии дают возможность получать совершенно чистые кристаллы кремния. Твердение расплава происходит во взаимодействии с кристаллической затравкой. </w:t>
      </w:r>
    </w:p>
    <w:p w14:paraId="18319B74">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процессе охлаждения и застывания образуются цилиндрические монокристаллы, диаметр которых составляет от 13 до 20 см, а длина - 2 м. Стержни разрезаются на отдельные части. Толщина каждого кружка выдерживается в пределах 0,2-0,4 мм. Из этих кружочков образуются ячейки. Для одной панели их оптимальное количество составляет 36 единиц. </w:t>
      </w:r>
    </w:p>
    <w:p w14:paraId="1E75D0E4">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4762500" cy="2381250"/>
            <wp:effectExtent l="0" t="0" r="0" b="0"/>
            <wp:docPr id="9" name="Рисунок 9" descr="https://electric-220.ru/_nw/16/3769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https://electric-220.ru/_nw/16/37691029.jpg"/>
                    <pic:cNvPicPr>
                      <a:picLocks noChangeAspect="1" noChangeArrowheads="1"/>
                    </pic:cNvPicPr>
                  </pic:nvPicPr>
                  <pic:blipFill>
                    <a:blip r:embed="rId13">
                      <a:extLst>
                        <a:ext uri="{28A0092B-C50C-407E-A947-70E740481C1C}">
                          <a14:useLocalDpi xmlns:a14="http://schemas.microsoft.com/office/drawing/2010/main" val="0"/>
                        </a:ext>
                      </a:extLst>
                    </a:blip>
                    <a:srcRect t="12709"/>
                    <a:stretch>
                      <a:fillRect/>
                    </a:stretch>
                  </pic:blipFill>
                  <pic:spPr>
                    <a:xfrm>
                      <a:off x="0" y="0"/>
                      <a:ext cx="4762500" cy="2381250"/>
                    </a:xfrm>
                    <a:prstGeom prst="rect">
                      <a:avLst/>
                    </a:prstGeom>
                    <a:noFill/>
                    <a:ln>
                      <a:noFill/>
                    </a:ln>
                  </pic:spPr>
                </pic:pic>
              </a:graphicData>
            </a:graphic>
          </wp:inline>
        </w:drawing>
      </w:r>
    </w:p>
    <w:p w14:paraId="6DE2CF12">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4.7. Кремниевые солнечные батареи</w:t>
      </w:r>
    </w:p>
    <w:p w14:paraId="018170EB">
      <w:pPr>
        <w:spacing w:after="0" w:line="360" w:lineRule="auto"/>
        <w:ind w:firstLine="709"/>
        <w:jc w:val="both"/>
        <w:rPr>
          <w:rFonts w:ascii="Times New Roman" w:hAnsi="Times New Roman" w:eastAsia="Times New Roman" w:cs="Times New Roman"/>
          <w:sz w:val="28"/>
          <w:szCs w:val="28"/>
          <w:lang w:eastAsia="ru-RU"/>
        </w:rPr>
      </w:pPr>
    </w:p>
    <w:p w14:paraId="6449B85F">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Наиболее качественные кристаллы позволяют увеличить КПД до 19%. В таких монокристаллах атомы сориентированы таким образом, что подвижность электронов заметно возрастает. Весь кремний пронизан металлической сеткой, выполняющей функцию электродов. Для установки панели предусмотрена алюминиевая рамка, после чего модуль закрывается противоударным защитным стеклом. Полученная поверхность бывает черного или темно синего цвета. </w:t>
      </w:r>
    </w:p>
    <w:p w14:paraId="7692A7AA">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Монокристаллические кремниевые солнечные батареи отличаются надежностью и долговечностью. Расчетный срок эксплуатации составляет 50 лет. Отсутствие движущихся деталей существенно упрощает монтаж. Они используются в районах с большим количеством солнечных дней, где обычное энергоснабжение работает с перебоями. Высокая эффективность панелей определяется их высокой стоимостью. В большинстве случаев их использование экономически выгодно и целесообразно. </w:t>
      </w:r>
    </w:p>
    <w:p w14:paraId="57CC6327">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более дешевых батареях используется мультикристаллический кремний, в состав которого входят различные монокристаллические решетки, собранные в случайном порядке. Срок эксплуатации таких устройств планируется не более 25 лет, а их КПД и стоимость гораздо ниже, чем у классических панелей. </w:t>
      </w:r>
    </w:p>
    <w:p w14:paraId="5C9D23FB">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Существует еще один вариант солнечных батарей, в которых использовались элементы поликристаллического кремния. Он также отличается низкой стоимостью, а его кристаллы находятся в агрегатном состоянии, обладают различной формой и ориентацией. В отличие от монокристаллов, они окрашены в собственный ярко синий цвет. </w:t>
      </w:r>
    </w:p>
    <w:p w14:paraId="131D77B5">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Производство таких компонентов постоянно совершенствуется и в настоящее время их параметры лишь незначительно отличаются от лидирующих конструкций. Производство поликристаллов осуществляется путем медленного охлаждения кремниевой субстанции. Процесс изготовления быстрый и дешевый, однако КПД таких панелей получается достаточно низким. Причина заключается в образовании внутренних поликристаллов, снижающих эффективность батарей. </w:t>
      </w:r>
    </w:p>
    <w:p w14:paraId="431A1061">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Тонкопленочные технологии для солнечных панелей</w:t>
      </w:r>
      <w:r>
        <w:rPr>
          <w:rFonts w:ascii="Times New Roman" w:hAnsi="Times New Roman" w:eastAsia="Times New Roman" w:cs="Times New Roman"/>
          <w:sz w:val="28"/>
          <w:szCs w:val="28"/>
          <w:lang w:eastAsia="ru-RU"/>
        </w:rPr>
        <w:t xml:space="preserve"> </w:t>
      </w:r>
    </w:p>
    <w:p w14:paraId="4668952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Изобретение технологии с использованием тонкой пленки дало возможность постепенно вытеснить кристаллические солнечные панели, приближаясь к ним по своим техническим характеристикам. Основные преимущества таких изделий заключаются в их невысокой себестоимости, которая становится определяющим фактором в конкурентной борьбе. Модули нового типа отличаются гибкостью, легкостью и эластичностью, что дает возможность устанавливать их практически на любые поверхности.</w:t>
      </w:r>
    </w:p>
    <w:p w14:paraId="4CFE0731">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Основными компонентами пленочных систем являются алюминий, аморфный кремний, теллурид кадмия и другие виды полупроводников, из которых состоит вся конструкция. Все элементы закрепляются на полимерной пленке и составляют единое целое. Количество вырабатываемой электроэнергии напрямую зависит от площади изделия. </w:t>
      </w:r>
    </w:p>
    <w:p w14:paraId="1A345140">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4762500" cy="1873250"/>
            <wp:effectExtent l="0" t="0" r="0" b="0"/>
            <wp:docPr id="11" name="Рисунок 11" descr="https://electric-220.ru/_nw/16/0102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https://electric-220.ru/_nw/16/010204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62500" cy="1873250"/>
                    </a:xfrm>
                    <a:prstGeom prst="rect">
                      <a:avLst/>
                    </a:prstGeom>
                    <a:noFill/>
                    <a:ln>
                      <a:noFill/>
                    </a:ln>
                  </pic:spPr>
                </pic:pic>
              </a:graphicData>
            </a:graphic>
          </wp:inline>
        </w:drawing>
      </w:r>
    </w:p>
    <w:p w14:paraId="5DAA19FA">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4.8. Тонкопленочные батареи</w:t>
      </w:r>
    </w:p>
    <w:p w14:paraId="673DC9D8">
      <w:pPr>
        <w:spacing w:after="0" w:line="360" w:lineRule="auto"/>
        <w:ind w:firstLine="709"/>
        <w:jc w:val="both"/>
        <w:rPr>
          <w:rFonts w:ascii="Times New Roman" w:hAnsi="Times New Roman" w:eastAsia="Times New Roman" w:cs="Times New Roman"/>
          <w:sz w:val="28"/>
          <w:szCs w:val="28"/>
          <w:lang w:eastAsia="ru-RU"/>
        </w:rPr>
      </w:pPr>
    </w:p>
    <w:p w14:paraId="45B6B04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самом начале в тонкопленочных элементах применялся аморфный кремний, наносимый на подложку. Такая конструкция, где используются эти компоненты служила совсем недолго, а КПД составлял всего лишь 4-5%. С улучшением технологии эти показатели возросли, в том числе и КПД, который достиг 8%. Тонкопленочные солнечные батареи третьего поколения увеличили этот показатель до 12% и стали вполне конкурентоспособными по отношению к кремниевым панелям. Таких показателей удалось достичь за счет селенида меди-индия и теллурида кадмия, нашедших свое применение еще в первых портативных зарядных устройствах. </w:t>
      </w:r>
    </w:p>
    <w:p w14:paraId="090CDB67">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Теллурид кадмия считается более перспективным для дальнейшего использования в солнечных батареях с тонкой пленкой. Некоторое время шли споры о его токсичности, но исследования показали, что вредные выбросы минимальны и не представляют опасности для окружающих. При этом, его КПД достиг 11%, а цена за 1 Вт на 30% ниже, по сравнению с кремниевыми аналогами. </w:t>
      </w:r>
    </w:p>
    <w:p w14:paraId="2A09723F">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Селенид меди-индия считается еще более эффективным. В настоящее время индий в большинстве случаев заменяется галлием, поскольку он практически весь используется в других производствах. Однако, даже в этом случае пленочные солнечные батареи нового поколения выдают КПД, равный 20%. </w:t>
      </w:r>
    </w:p>
    <w:p w14:paraId="71FB755F">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Конструкция тонкопленочных панелей</w:t>
      </w:r>
      <w:r>
        <w:rPr>
          <w:rFonts w:ascii="Times New Roman" w:hAnsi="Times New Roman" w:eastAsia="Times New Roman" w:cs="Times New Roman"/>
          <w:sz w:val="28"/>
          <w:szCs w:val="28"/>
          <w:lang w:eastAsia="ru-RU"/>
        </w:rPr>
        <w:t xml:space="preserve"> </w:t>
      </w:r>
    </w:p>
    <w:p w14:paraId="056A831E">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Характерной особенностью таких конструкций является их высокая производительность даже при воздействии рассеянного света. В течение года суммарная мощность этих устройств на 15% превышает кремниевые аналоги. В этом заключаются их явные преимущества. </w:t>
      </w:r>
    </w:p>
    <w:p w14:paraId="45789B62">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На определенном этапе, в зависимости от площади, тонкопленочные солнечные батареи начинают преобладать над другими типами модулей. При пасмурной погоде они будут работать значительно эффективнее, так же, как и при высокой температуре в жаркую погоду, как и планировал изобретатель. Благодаря физическим свойствам эти изделия часто применяются в декоративной отделке фасадов зданий и в других дизайнерских решениях. Специалисты прогнозируют, что это солнечные батареи будущего. </w:t>
      </w:r>
    </w:p>
    <w:p w14:paraId="627D1851">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Важным конструктивным решением является нанесение тонкой пленки на цилиндрические поверхности. В качестве такого цилиндра используется стеклянная трубка, которая после нанесения фотоэлемента помещается внутрь другой трубки. Вторая трубка имеет больший диаметр и к ней подведены электрические контакты. </w:t>
      </w:r>
    </w:p>
    <w:p w14:paraId="6A0C50DF">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Благодаря цилиндрическому исполнению, пленочные солнечные батареи поглощают большее количество света, а 40 деталей свободно размещаются на площади 2 м2. Они устойчивы к сильным порывам ветра и могут свободно устанавливаться на крышах. </w:t>
      </w:r>
    </w:p>
    <w:p w14:paraId="2D389283">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4762500" cy="1460500"/>
            <wp:effectExtent l="0" t="0" r="0" b="6350"/>
            <wp:docPr id="13" name="Рисунок 13" descr="https://electric-220.ru/_nw/16/90263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https://electric-220.ru/_nw/16/90263168.jpg"/>
                    <pic:cNvPicPr>
                      <a:picLocks noChangeAspect="1" noChangeArrowheads="1"/>
                    </pic:cNvPicPr>
                  </pic:nvPicPr>
                  <pic:blipFill>
                    <a:blip r:embed="rId15">
                      <a:extLst>
                        <a:ext uri="{28A0092B-C50C-407E-A947-70E740481C1C}">
                          <a14:useLocalDpi xmlns:a14="http://schemas.microsoft.com/office/drawing/2010/main" val="0"/>
                        </a:ext>
                      </a:extLst>
                    </a:blip>
                    <a:srcRect t="9152"/>
                    <a:stretch>
                      <a:fillRect/>
                    </a:stretch>
                  </pic:blipFill>
                  <pic:spPr>
                    <a:xfrm>
                      <a:off x="0" y="0"/>
                      <a:ext cx="4762500" cy="1460500"/>
                    </a:xfrm>
                    <a:prstGeom prst="rect">
                      <a:avLst/>
                    </a:prstGeom>
                    <a:noFill/>
                    <a:ln>
                      <a:noFill/>
                    </a:ln>
                  </pic:spPr>
                </pic:pic>
              </a:graphicData>
            </a:graphic>
          </wp:inline>
        </w:drawing>
      </w:r>
    </w:p>
    <w:p w14:paraId="6F613118">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4.9. Цилиндрические солнечные батареи</w:t>
      </w:r>
    </w:p>
    <w:p w14:paraId="2BC2362C">
      <w:pPr>
        <w:spacing w:after="0" w:line="360" w:lineRule="auto"/>
        <w:ind w:firstLine="709"/>
        <w:jc w:val="both"/>
        <w:rPr>
          <w:rFonts w:ascii="Times New Roman" w:hAnsi="Times New Roman" w:eastAsia="Times New Roman" w:cs="Times New Roman"/>
          <w:sz w:val="28"/>
          <w:szCs w:val="28"/>
          <w:lang w:eastAsia="ru-RU"/>
        </w:rPr>
      </w:pPr>
    </w:p>
    <w:p w14:paraId="5E20E518">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настоящее время плёночные конструкции оснащаются различными типами каскадных элементов, обладающих многослойной структурой. Вместо одного, в них имеется несколько р-п переходов, что в значительной степени увеличивает эффективность таких модулей. В результате, электрическая энергия, генерируемая панелями, снижает свою себестоимость в два раза относительно кремниевых элементов. На всей площади плёнки с тремя переходами КПД составляет 31%, а при пяти переходах это значение может достичь 43%. </w:t>
      </w:r>
    </w:p>
    <w:p w14:paraId="37CBF157">
      <w:pPr>
        <w:spacing w:after="0" w:line="240" w:lineRule="auto"/>
        <w:ind w:firstLine="709"/>
        <w:jc w:val="right"/>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2</w:t>
      </w:r>
    </w:p>
    <w:p w14:paraId="62227522">
      <w:pPr>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Факторы, влияющие на эффективность солнечных систем</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515"/>
      </w:tblGrid>
      <w:tr w14:paraId="4F1EB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shd w:val="clear" w:color="auto" w:fill="DEEAF6" w:themeFill="accent1" w:themeFillTint="33"/>
          </w:tcPr>
          <w:p w14:paraId="2262938D">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Фактор</w:t>
            </w:r>
          </w:p>
        </w:tc>
        <w:tc>
          <w:tcPr>
            <w:tcW w:w="6515" w:type="dxa"/>
            <w:shd w:val="clear" w:color="auto" w:fill="DEEAF6" w:themeFill="accent1" w:themeFillTint="33"/>
          </w:tcPr>
          <w:p w14:paraId="57107A5F">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Влияние на эффективность</w:t>
            </w:r>
          </w:p>
        </w:tc>
      </w:tr>
      <w:tr w14:paraId="2A59E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5D4855D8">
            <w:pPr>
              <w:spacing w:after="0" w:line="240" w:lineRule="auto"/>
              <w:rPr>
                <w:rFonts w:ascii="Times New Roman" w:hAnsi="Times New Roman" w:cs="Times New Roman"/>
                <w:sz w:val="26"/>
                <w:szCs w:val="26"/>
              </w:rPr>
            </w:pPr>
            <w:r>
              <w:rPr>
                <w:rFonts w:ascii="Times New Roman" w:hAnsi="Times New Roman" w:cs="Times New Roman"/>
                <w:sz w:val="26"/>
                <w:szCs w:val="26"/>
              </w:rPr>
              <w:t>Качество панелей</w:t>
            </w:r>
          </w:p>
        </w:tc>
        <w:tc>
          <w:tcPr>
            <w:tcW w:w="6515" w:type="dxa"/>
            <w:shd w:val="clear" w:color="auto" w:fill="FEF2CC" w:themeFill="accent4" w:themeFillTint="33"/>
          </w:tcPr>
          <w:p w14:paraId="30C687CD">
            <w:pPr>
              <w:spacing w:after="0" w:line="240" w:lineRule="auto"/>
              <w:rPr>
                <w:rFonts w:ascii="Times New Roman" w:hAnsi="Times New Roman" w:cs="Times New Roman"/>
                <w:sz w:val="26"/>
                <w:szCs w:val="26"/>
              </w:rPr>
            </w:pPr>
            <w:r>
              <w:rPr>
                <w:rFonts w:ascii="Times New Roman" w:hAnsi="Times New Roman" w:cs="Times New Roman"/>
                <w:sz w:val="26"/>
                <w:szCs w:val="26"/>
              </w:rPr>
              <w:t>Определяет максимальную возможную эффективность</w:t>
            </w:r>
          </w:p>
        </w:tc>
      </w:tr>
      <w:tr w14:paraId="7E524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E2EFD9" w:themeFill="accent6" w:themeFillTint="33"/>
          </w:tcPr>
          <w:p w14:paraId="7C41D21A">
            <w:pPr>
              <w:spacing w:after="0" w:line="240" w:lineRule="auto"/>
              <w:rPr>
                <w:rFonts w:ascii="Times New Roman" w:hAnsi="Times New Roman" w:cs="Times New Roman"/>
                <w:sz w:val="26"/>
                <w:szCs w:val="26"/>
              </w:rPr>
            </w:pPr>
            <w:r>
              <w:rPr>
                <w:rFonts w:ascii="Times New Roman" w:hAnsi="Times New Roman" w:cs="Times New Roman"/>
                <w:sz w:val="26"/>
                <w:szCs w:val="26"/>
              </w:rPr>
              <w:t>Угол наклона и ориентация</w:t>
            </w:r>
          </w:p>
        </w:tc>
        <w:tc>
          <w:tcPr>
            <w:tcW w:w="6515" w:type="dxa"/>
            <w:shd w:val="clear" w:color="auto" w:fill="E2EFD9" w:themeFill="accent6" w:themeFillTint="33"/>
          </w:tcPr>
          <w:p w14:paraId="51973C25">
            <w:pPr>
              <w:spacing w:after="0" w:line="240" w:lineRule="auto"/>
              <w:rPr>
                <w:rFonts w:ascii="Times New Roman" w:hAnsi="Times New Roman" w:cs="Times New Roman"/>
                <w:sz w:val="26"/>
                <w:szCs w:val="26"/>
              </w:rPr>
            </w:pPr>
            <w:r>
              <w:rPr>
                <w:rFonts w:ascii="Times New Roman" w:hAnsi="Times New Roman" w:cs="Times New Roman"/>
                <w:sz w:val="26"/>
                <w:szCs w:val="26"/>
              </w:rPr>
              <w:t>Максимизация солнечного облучения</w:t>
            </w:r>
          </w:p>
        </w:tc>
      </w:tr>
      <w:tr w14:paraId="4F4BD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15B3977F">
            <w:pPr>
              <w:spacing w:after="0" w:line="240" w:lineRule="auto"/>
              <w:rPr>
                <w:rFonts w:ascii="Times New Roman" w:hAnsi="Times New Roman" w:cs="Times New Roman"/>
                <w:sz w:val="26"/>
                <w:szCs w:val="26"/>
              </w:rPr>
            </w:pPr>
            <w:r>
              <w:rPr>
                <w:rFonts w:ascii="Times New Roman" w:hAnsi="Times New Roman" w:cs="Times New Roman"/>
                <w:sz w:val="26"/>
                <w:szCs w:val="26"/>
              </w:rPr>
              <w:t>Наличие теней</w:t>
            </w:r>
          </w:p>
        </w:tc>
        <w:tc>
          <w:tcPr>
            <w:tcW w:w="6515" w:type="dxa"/>
            <w:shd w:val="clear" w:color="auto" w:fill="FEF2CC" w:themeFill="accent4" w:themeFillTint="33"/>
          </w:tcPr>
          <w:p w14:paraId="34D38AFF">
            <w:pPr>
              <w:spacing w:after="0" w:line="240" w:lineRule="auto"/>
              <w:rPr>
                <w:rFonts w:ascii="Times New Roman" w:hAnsi="Times New Roman" w:cs="Times New Roman"/>
                <w:sz w:val="26"/>
                <w:szCs w:val="26"/>
              </w:rPr>
            </w:pPr>
            <w:r>
              <w:rPr>
                <w:rFonts w:ascii="Times New Roman" w:hAnsi="Times New Roman" w:cs="Times New Roman"/>
                <w:sz w:val="26"/>
                <w:szCs w:val="26"/>
              </w:rPr>
              <w:t>Снижает производительность панелей</w:t>
            </w:r>
          </w:p>
        </w:tc>
      </w:tr>
      <w:tr w14:paraId="52029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E2EFD9" w:themeFill="accent6" w:themeFillTint="33"/>
          </w:tcPr>
          <w:p w14:paraId="2C4D9C7E">
            <w:pPr>
              <w:spacing w:after="0" w:line="240" w:lineRule="auto"/>
              <w:rPr>
                <w:rFonts w:ascii="Times New Roman" w:hAnsi="Times New Roman" w:cs="Times New Roman"/>
                <w:sz w:val="26"/>
                <w:szCs w:val="26"/>
              </w:rPr>
            </w:pPr>
            <w:r>
              <w:rPr>
                <w:rFonts w:ascii="Times New Roman" w:hAnsi="Times New Roman" w:cs="Times New Roman"/>
                <w:sz w:val="26"/>
                <w:szCs w:val="26"/>
              </w:rPr>
              <w:t>Климатические условия</w:t>
            </w:r>
          </w:p>
        </w:tc>
        <w:tc>
          <w:tcPr>
            <w:tcW w:w="6515" w:type="dxa"/>
            <w:shd w:val="clear" w:color="auto" w:fill="E2EFD9" w:themeFill="accent6" w:themeFillTint="33"/>
          </w:tcPr>
          <w:p w14:paraId="43A99683">
            <w:pPr>
              <w:spacing w:after="0" w:line="240" w:lineRule="auto"/>
              <w:rPr>
                <w:rFonts w:ascii="Times New Roman" w:hAnsi="Times New Roman" w:cs="Times New Roman"/>
                <w:sz w:val="26"/>
                <w:szCs w:val="26"/>
              </w:rPr>
            </w:pPr>
            <w:r>
              <w:rPr>
                <w:rFonts w:ascii="Times New Roman" w:hAnsi="Times New Roman" w:cs="Times New Roman"/>
                <w:sz w:val="26"/>
                <w:szCs w:val="26"/>
              </w:rPr>
              <w:t>Влияют на общую производительность в зависимости от региона</w:t>
            </w:r>
          </w:p>
        </w:tc>
      </w:tr>
      <w:tr w14:paraId="70C53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666D3C15">
            <w:pPr>
              <w:spacing w:after="0" w:line="240" w:lineRule="auto"/>
              <w:rPr>
                <w:rFonts w:ascii="Times New Roman" w:hAnsi="Times New Roman" w:cs="Times New Roman"/>
                <w:sz w:val="26"/>
                <w:szCs w:val="26"/>
              </w:rPr>
            </w:pPr>
            <w:r>
              <w:rPr>
                <w:rFonts w:ascii="Times New Roman" w:hAnsi="Times New Roman" w:cs="Times New Roman"/>
                <w:sz w:val="26"/>
                <w:szCs w:val="26"/>
              </w:rPr>
              <w:t>Системы хранения энергии</w:t>
            </w:r>
          </w:p>
        </w:tc>
        <w:tc>
          <w:tcPr>
            <w:tcW w:w="6515" w:type="dxa"/>
            <w:shd w:val="clear" w:color="auto" w:fill="FEF2CC" w:themeFill="accent4" w:themeFillTint="33"/>
          </w:tcPr>
          <w:p w14:paraId="58487A77">
            <w:pPr>
              <w:spacing w:after="0" w:line="240" w:lineRule="auto"/>
              <w:rPr>
                <w:rFonts w:ascii="Times New Roman" w:hAnsi="Times New Roman" w:cs="Times New Roman"/>
                <w:sz w:val="26"/>
                <w:szCs w:val="26"/>
              </w:rPr>
            </w:pPr>
            <w:r>
              <w:rPr>
                <w:rFonts w:ascii="Times New Roman" w:hAnsi="Times New Roman" w:cs="Times New Roman"/>
                <w:sz w:val="26"/>
                <w:szCs w:val="26"/>
              </w:rPr>
              <w:t>Улучшают использование произведенной энергии</w:t>
            </w:r>
          </w:p>
        </w:tc>
      </w:tr>
      <w:tr w14:paraId="01BD1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E2EFD9" w:themeFill="accent6" w:themeFillTint="33"/>
          </w:tcPr>
          <w:p w14:paraId="255F910B">
            <w:pPr>
              <w:spacing w:after="0" w:line="240" w:lineRule="auto"/>
              <w:rPr>
                <w:rFonts w:ascii="Times New Roman" w:hAnsi="Times New Roman" w:cs="Times New Roman"/>
                <w:sz w:val="26"/>
                <w:szCs w:val="26"/>
              </w:rPr>
            </w:pPr>
            <w:r>
              <w:rPr>
                <w:rFonts w:ascii="Times New Roman" w:hAnsi="Times New Roman" w:cs="Times New Roman"/>
                <w:sz w:val="26"/>
                <w:szCs w:val="26"/>
              </w:rPr>
              <w:t>Чистота поверхности панелей</w:t>
            </w:r>
          </w:p>
        </w:tc>
        <w:tc>
          <w:tcPr>
            <w:tcW w:w="6515" w:type="dxa"/>
            <w:shd w:val="clear" w:color="auto" w:fill="E2EFD9" w:themeFill="accent6" w:themeFillTint="33"/>
          </w:tcPr>
          <w:p w14:paraId="74EBF33F">
            <w:pPr>
              <w:spacing w:after="0" w:line="240" w:lineRule="auto"/>
              <w:rPr>
                <w:rFonts w:ascii="Times New Roman" w:hAnsi="Times New Roman" w:cs="Times New Roman"/>
                <w:sz w:val="26"/>
                <w:szCs w:val="26"/>
              </w:rPr>
            </w:pPr>
            <w:r>
              <w:rPr>
                <w:rFonts w:ascii="Times New Roman" w:hAnsi="Times New Roman" w:cs="Times New Roman"/>
                <w:sz w:val="26"/>
                <w:szCs w:val="26"/>
              </w:rPr>
              <w:t>Пыль, грязь и снег могут значительно снизить эффективность панелей</w:t>
            </w:r>
          </w:p>
        </w:tc>
      </w:tr>
      <w:tr w14:paraId="3D64E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7AE5CBD0">
            <w:pPr>
              <w:spacing w:after="0" w:line="240" w:lineRule="auto"/>
              <w:rPr>
                <w:rFonts w:ascii="Times New Roman" w:hAnsi="Times New Roman" w:cs="Times New Roman"/>
                <w:sz w:val="26"/>
                <w:szCs w:val="26"/>
              </w:rPr>
            </w:pPr>
            <w:r>
              <w:rPr>
                <w:rFonts w:ascii="Times New Roman" w:hAnsi="Times New Roman" w:cs="Times New Roman"/>
                <w:sz w:val="26"/>
                <w:szCs w:val="26"/>
              </w:rPr>
              <w:t>Температурные условия</w:t>
            </w:r>
          </w:p>
        </w:tc>
        <w:tc>
          <w:tcPr>
            <w:tcW w:w="6515" w:type="dxa"/>
            <w:shd w:val="clear" w:color="auto" w:fill="FEF2CC" w:themeFill="accent4" w:themeFillTint="33"/>
          </w:tcPr>
          <w:p w14:paraId="115495D3">
            <w:pPr>
              <w:spacing w:after="0" w:line="240" w:lineRule="auto"/>
              <w:rPr>
                <w:rFonts w:ascii="Times New Roman" w:hAnsi="Times New Roman" w:cs="Times New Roman"/>
                <w:sz w:val="26"/>
                <w:szCs w:val="26"/>
              </w:rPr>
            </w:pPr>
            <w:r>
              <w:rPr>
                <w:rFonts w:ascii="Times New Roman" w:hAnsi="Times New Roman" w:cs="Times New Roman"/>
                <w:sz w:val="26"/>
                <w:szCs w:val="26"/>
              </w:rPr>
              <w:t>Высокие температуры могут снижать производительность панелей</w:t>
            </w:r>
          </w:p>
        </w:tc>
      </w:tr>
      <w:tr w14:paraId="0D46D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E2EFD9" w:themeFill="accent6" w:themeFillTint="33"/>
          </w:tcPr>
          <w:p w14:paraId="486C2FDD">
            <w:pPr>
              <w:spacing w:after="0" w:line="240" w:lineRule="auto"/>
              <w:rPr>
                <w:rFonts w:ascii="Times New Roman" w:hAnsi="Times New Roman" w:cs="Times New Roman"/>
                <w:sz w:val="26"/>
                <w:szCs w:val="26"/>
              </w:rPr>
            </w:pPr>
            <w:r>
              <w:rPr>
                <w:rFonts w:ascii="Times New Roman" w:hAnsi="Times New Roman" w:cs="Times New Roman"/>
                <w:sz w:val="26"/>
                <w:szCs w:val="26"/>
              </w:rPr>
              <w:t>Деградация панелей</w:t>
            </w:r>
          </w:p>
        </w:tc>
        <w:tc>
          <w:tcPr>
            <w:tcW w:w="6515" w:type="dxa"/>
            <w:shd w:val="clear" w:color="auto" w:fill="E2EFD9" w:themeFill="accent6" w:themeFillTint="33"/>
          </w:tcPr>
          <w:p w14:paraId="2DB3FD03">
            <w:pPr>
              <w:spacing w:after="0" w:line="240" w:lineRule="auto"/>
              <w:rPr>
                <w:rFonts w:ascii="Times New Roman" w:hAnsi="Times New Roman" w:cs="Times New Roman"/>
                <w:sz w:val="26"/>
                <w:szCs w:val="26"/>
              </w:rPr>
            </w:pPr>
            <w:r>
              <w:rPr>
                <w:rFonts w:ascii="Times New Roman" w:hAnsi="Times New Roman" w:cs="Times New Roman"/>
                <w:sz w:val="26"/>
                <w:szCs w:val="26"/>
              </w:rPr>
              <w:t>С течением времени эффективность панелей может снижаться</w:t>
            </w:r>
          </w:p>
        </w:tc>
      </w:tr>
      <w:tr w14:paraId="0E90E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71C7274E">
            <w:pPr>
              <w:spacing w:after="0" w:line="240" w:lineRule="auto"/>
              <w:rPr>
                <w:rFonts w:ascii="Times New Roman" w:hAnsi="Times New Roman" w:cs="Times New Roman"/>
                <w:sz w:val="26"/>
                <w:szCs w:val="26"/>
              </w:rPr>
            </w:pPr>
            <w:r>
              <w:rPr>
                <w:rFonts w:ascii="Times New Roman" w:hAnsi="Times New Roman" w:cs="Times New Roman"/>
                <w:sz w:val="26"/>
                <w:szCs w:val="26"/>
              </w:rPr>
              <w:t>Тип инвертора</w:t>
            </w:r>
          </w:p>
        </w:tc>
        <w:tc>
          <w:tcPr>
            <w:tcW w:w="6515" w:type="dxa"/>
            <w:shd w:val="clear" w:color="auto" w:fill="FEF2CC" w:themeFill="accent4" w:themeFillTint="33"/>
          </w:tcPr>
          <w:p w14:paraId="1AA7AB79">
            <w:pPr>
              <w:spacing w:after="0" w:line="240" w:lineRule="auto"/>
              <w:rPr>
                <w:rFonts w:ascii="Times New Roman" w:hAnsi="Times New Roman" w:cs="Times New Roman"/>
                <w:sz w:val="26"/>
                <w:szCs w:val="26"/>
              </w:rPr>
            </w:pPr>
            <w:r>
              <w:rPr>
                <w:rFonts w:ascii="Times New Roman" w:hAnsi="Times New Roman" w:cs="Times New Roman"/>
                <w:sz w:val="26"/>
                <w:szCs w:val="26"/>
              </w:rPr>
              <w:t>Оптимальный инвертор может повысить общую эффективность системы</w:t>
            </w:r>
          </w:p>
        </w:tc>
      </w:tr>
      <w:tr w14:paraId="5047E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E2EFD9" w:themeFill="accent6" w:themeFillTint="33"/>
          </w:tcPr>
          <w:p w14:paraId="54C44FD1">
            <w:pPr>
              <w:spacing w:after="0" w:line="240" w:lineRule="auto"/>
              <w:rPr>
                <w:rFonts w:ascii="Times New Roman" w:hAnsi="Times New Roman" w:cs="Times New Roman"/>
                <w:sz w:val="26"/>
                <w:szCs w:val="26"/>
              </w:rPr>
            </w:pPr>
            <w:r>
              <w:rPr>
                <w:rFonts w:ascii="Times New Roman" w:hAnsi="Times New Roman" w:cs="Times New Roman"/>
                <w:sz w:val="26"/>
                <w:szCs w:val="26"/>
              </w:rPr>
              <w:t>Электропроводка</w:t>
            </w:r>
          </w:p>
        </w:tc>
        <w:tc>
          <w:tcPr>
            <w:tcW w:w="6515" w:type="dxa"/>
            <w:shd w:val="clear" w:color="auto" w:fill="E2EFD9" w:themeFill="accent6" w:themeFillTint="33"/>
          </w:tcPr>
          <w:p w14:paraId="55EAEDC4">
            <w:pPr>
              <w:spacing w:after="0" w:line="240" w:lineRule="auto"/>
              <w:rPr>
                <w:rFonts w:ascii="Times New Roman" w:hAnsi="Times New Roman" w:cs="Times New Roman"/>
                <w:sz w:val="26"/>
                <w:szCs w:val="26"/>
              </w:rPr>
            </w:pPr>
            <w:r>
              <w:rPr>
                <w:rFonts w:ascii="Times New Roman" w:hAnsi="Times New Roman" w:cs="Times New Roman"/>
                <w:sz w:val="26"/>
                <w:szCs w:val="26"/>
              </w:rPr>
              <w:t>Качество и длина проводки могут влиять на потери энергии</w:t>
            </w:r>
          </w:p>
        </w:tc>
      </w:tr>
      <w:tr w14:paraId="3A0FD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2544A537">
            <w:pPr>
              <w:spacing w:after="0" w:line="240" w:lineRule="auto"/>
              <w:rPr>
                <w:rFonts w:ascii="Times New Roman" w:hAnsi="Times New Roman" w:cs="Times New Roman"/>
                <w:sz w:val="26"/>
                <w:szCs w:val="26"/>
              </w:rPr>
            </w:pPr>
            <w:r>
              <w:rPr>
                <w:rFonts w:ascii="Times New Roman" w:hAnsi="Times New Roman" w:cs="Times New Roman"/>
                <w:sz w:val="26"/>
                <w:szCs w:val="26"/>
              </w:rPr>
              <w:t>Уровень солнечной радиации</w:t>
            </w:r>
          </w:p>
        </w:tc>
        <w:tc>
          <w:tcPr>
            <w:tcW w:w="6515" w:type="dxa"/>
            <w:shd w:val="clear" w:color="auto" w:fill="FEF2CC" w:themeFill="accent4" w:themeFillTint="33"/>
          </w:tcPr>
          <w:p w14:paraId="39D31385">
            <w:pPr>
              <w:spacing w:after="0" w:line="240" w:lineRule="auto"/>
              <w:rPr>
                <w:rFonts w:ascii="Times New Roman" w:hAnsi="Times New Roman" w:cs="Times New Roman"/>
                <w:sz w:val="26"/>
                <w:szCs w:val="26"/>
              </w:rPr>
            </w:pPr>
            <w:r>
              <w:rPr>
                <w:rFonts w:ascii="Times New Roman" w:hAnsi="Times New Roman" w:cs="Times New Roman"/>
                <w:sz w:val="26"/>
                <w:szCs w:val="26"/>
              </w:rPr>
              <w:t>Высокая солнечная радиация увеличивает производительность панелей</w:t>
            </w:r>
          </w:p>
        </w:tc>
      </w:tr>
      <w:tr w14:paraId="241D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E2EFD9" w:themeFill="accent6" w:themeFillTint="33"/>
          </w:tcPr>
          <w:p w14:paraId="4D82EB4B">
            <w:pPr>
              <w:spacing w:after="0" w:line="240" w:lineRule="auto"/>
              <w:rPr>
                <w:rFonts w:ascii="Times New Roman" w:hAnsi="Times New Roman" w:cs="Times New Roman"/>
                <w:sz w:val="26"/>
                <w:szCs w:val="26"/>
              </w:rPr>
            </w:pPr>
            <w:r>
              <w:rPr>
                <w:rFonts w:ascii="Times New Roman" w:hAnsi="Times New Roman" w:cs="Times New Roman"/>
                <w:sz w:val="26"/>
                <w:szCs w:val="26"/>
              </w:rPr>
              <w:t>Технология производства</w:t>
            </w:r>
          </w:p>
        </w:tc>
        <w:tc>
          <w:tcPr>
            <w:tcW w:w="6515" w:type="dxa"/>
            <w:shd w:val="clear" w:color="auto" w:fill="E2EFD9" w:themeFill="accent6" w:themeFillTint="33"/>
          </w:tcPr>
          <w:p w14:paraId="1C5B3E35">
            <w:pPr>
              <w:spacing w:after="0" w:line="240" w:lineRule="auto"/>
              <w:rPr>
                <w:rFonts w:ascii="Times New Roman" w:hAnsi="Times New Roman" w:cs="Times New Roman"/>
                <w:sz w:val="26"/>
                <w:szCs w:val="26"/>
              </w:rPr>
            </w:pPr>
            <w:r>
              <w:rPr>
                <w:rFonts w:ascii="Times New Roman" w:hAnsi="Times New Roman" w:cs="Times New Roman"/>
                <w:sz w:val="26"/>
                <w:szCs w:val="26"/>
              </w:rPr>
              <w:t>Современные технологии производства могут обеспечить более высокую эффективность панелей</w:t>
            </w:r>
          </w:p>
        </w:tc>
      </w:tr>
      <w:tr w14:paraId="36D65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1C54FBDA">
            <w:pPr>
              <w:spacing w:after="0" w:line="240" w:lineRule="auto"/>
              <w:rPr>
                <w:rFonts w:ascii="Times New Roman" w:hAnsi="Times New Roman" w:cs="Times New Roman"/>
                <w:sz w:val="26"/>
                <w:szCs w:val="26"/>
              </w:rPr>
            </w:pPr>
            <w:r>
              <w:rPr>
                <w:rFonts w:ascii="Times New Roman" w:hAnsi="Times New Roman" w:cs="Times New Roman"/>
                <w:sz w:val="26"/>
                <w:szCs w:val="26"/>
              </w:rPr>
              <w:t>Поддержка и обслуживание</w:t>
            </w:r>
          </w:p>
        </w:tc>
        <w:tc>
          <w:tcPr>
            <w:tcW w:w="6515" w:type="dxa"/>
            <w:shd w:val="clear" w:color="auto" w:fill="FEF2CC" w:themeFill="accent4" w:themeFillTint="33"/>
          </w:tcPr>
          <w:p w14:paraId="680BD8C8">
            <w:pPr>
              <w:spacing w:after="0" w:line="240" w:lineRule="auto"/>
              <w:rPr>
                <w:rFonts w:ascii="Times New Roman" w:hAnsi="Times New Roman" w:cs="Times New Roman"/>
                <w:sz w:val="26"/>
                <w:szCs w:val="26"/>
              </w:rPr>
            </w:pPr>
            <w:r>
              <w:rPr>
                <w:rFonts w:ascii="Times New Roman" w:hAnsi="Times New Roman" w:cs="Times New Roman"/>
                <w:sz w:val="26"/>
                <w:szCs w:val="26"/>
              </w:rPr>
              <w:t>Регулярное обслуживание и поддержка системы могут значительно увеличить ее долговечность и производительность</w:t>
            </w:r>
          </w:p>
        </w:tc>
      </w:tr>
      <w:tr w14:paraId="19A31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E2EFD9" w:themeFill="accent6" w:themeFillTint="33"/>
          </w:tcPr>
          <w:p w14:paraId="65D650EA">
            <w:pPr>
              <w:spacing w:after="0" w:line="240" w:lineRule="auto"/>
              <w:rPr>
                <w:rFonts w:ascii="Times New Roman" w:hAnsi="Times New Roman" w:cs="Times New Roman"/>
                <w:sz w:val="26"/>
                <w:szCs w:val="26"/>
              </w:rPr>
            </w:pPr>
            <w:r>
              <w:rPr>
                <w:rFonts w:ascii="Times New Roman" w:hAnsi="Times New Roman" w:cs="Times New Roman"/>
                <w:sz w:val="26"/>
                <w:szCs w:val="26"/>
              </w:rPr>
              <w:t>Установка и монтаж</w:t>
            </w:r>
          </w:p>
        </w:tc>
        <w:tc>
          <w:tcPr>
            <w:tcW w:w="6515" w:type="dxa"/>
            <w:shd w:val="clear" w:color="auto" w:fill="E2EFD9" w:themeFill="accent6" w:themeFillTint="33"/>
          </w:tcPr>
          <w:p w14:paraId="159B6117">
            <w:pPr>
              <w:spacing w:after="0" w:line="240" w:lineRule="auto"/>
              <w:rPr>
                <w:rFonts w:ascii="Times New Roman" w:hAnsi="Times New Roman" w:cs="Times New Roman"/>
                <w:sz w:val="26"/>
                <w:szCs w:val="26"/>
              </w:rPr>
            </w:pPr>
            <w:r>
              <w:rPr>
                <w:rFonts w:ascii="Times New Roman" w:hAnsi="Times New Roman" w:cs="Times New Roman"/>
                <w:sz w:val="26"/>
                <w:szCs w:val="26"/>
              </w:rPr>
              <w:t>Профессиональная установка и монтаж системы могут предотвратить потери энергии и обеспечить оптимальную производительность</w:t>
            </w:r>
          </w:p>
        </w:tc>
      </w:tr>
      <w:tr w14:paraId="029D2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shd w:val="clear" w:color="auto" w:fill="FEF2CC" w:themeFill="accent4" w:themeFillTint="33"/>
          </w:tcPr>
          <w:p w14:paraId="04B76722">
            <w:pPr>
              <w:spacing w:after="0" w:line="240" w:lineRule="auto"/>
              <w:rPr>
                <w:rFonts w:ascii="Times New Roman" w:hAnsi="Times New Roman" w:cs="Times New Roman"/>
                <w:sz w:val="26"/>
                <w:szCs w:val="26"/>
              </w:rPr>
            </w:pPr>
            <w:r>
              <w:rPr>
                <w:rFonts w:ascii="Times New Roman" w:hAnsi="Times New Roman" w:cs="Times New Roman"/>
                <w:sz w:val="26"/>
                <w:szCs w:val="26"/>
              </w:rPr>
              <w:t>Интеграция с другими системами</w:t>
            </w:r>
          </w:p>
        </w:tc>
        <w:tc>
          <w:tcPr>
            <w:tcW w:w="6515" w:type="dxa"/>
            <w:shd w:val="clear" w:color="auto" w:fill="FEF2CC" w:themeFill="accent4" w:themeFillTint="33"/>
          </w:tcPr>
          <w:p w14:paraId="1073CDEB">
            <w:pPr>
              <w:spacing w:after="0" w:line="240" w:lineRule="auto"/>
              <w:rPr>
                <w:rFonts w:ascii="Times New Roman" w:hAnsi="Times New Roman" w:cs="Times New Roman"/>
                <w:sz w:val="26"/>
                <w:szCs w:val="26"/>
              </w:rPr>
            </w:pPr>
            <w:r>
              <w:rPr>
                <w:rFonts w:ascii="Times New Roman" w:hAnsi="Times New Roman" w:cs="Times New Roman"/>
                <w:sz w:val="26"/>
                <w:szCs w:val="26"/>
              </w:rPr>
              <w:t>Эффективная интеграция с другими энергосистемами и сетями может улучшить общую производительность и использование энергии</w:t>
            </w:r>
          </w:p>
        </w:tc>
      </w:tr>
    </w:tbl>
    <w:p w14:paraId="7E99B72A">
      <w:pPr>
        <w:jc w:val="center"/>
        <w:rPr>
          <w:rFonts w:ascii="Times New Roman" w:hAnsi="Times New Roman" w:cs="Times New Roman"/>
          <w:b/>
          <w:sz w:val="28"/>
          <w:szCs w:val="28"/>
        </w:rPr>
      </w:pPr>
    </w:p>
    <w:p w14:paraId="6258DDAC">
      <w:pPr>
        <w:jc w:val="center"/>
        <w:rPr>
          <w:rFonts w:ascii="Times New Roman" w:hAnsi="Times New Roman" w:cs="Times New Roman"/>
          <w:b/>
          <w:sz w:val="28"/>
          <w:szCs w:val="28"/>
        </w:rPr>
      </w:pPr>
    </w:p>
    <w:p w14:paraId="0A2A7E21">
      <w:pPr>
        <w:jc w:val="center"/>
        <w:rPr>
          <w:rFonts w:ascii="Times New Roman" w:hAnsi="Times New Roman" w:cs="Times New Roman"/>
          <w:b/>
          <w:sz w:val="28"/>
          <w:szCs w:val="28"/>
        </w:rPr>
      </w:pPr>
      <w:r>
        <w:rPr>
          <w:rFonts w:ascii="Times New Roman" w:hAnsi="Times New Roman" w:cs="Times New Roman"/>
          <w:b/>
          <w:sz w:val="28"/>
          <w:szCs w:val="28"/>
        </w:rPr>
        <w:t>Как работают солнечные коллекторы</w:t>
      </w:r>
    </w:p>
    <w:p w14:paraId="2C17487D">
      <w:pPr>
        <w:shd w:val="clear" w:color="auto" w:fill="FFFFFF"/>
        <w:spacing w:after="100" w:afterAutospacing="1"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Солнечная водонагревательная установка состоит из собственно солнечного коллектора, теплообменного контура и аккумулятора тепла (бака с водой). Через солнечный коллектор циркулирует теплоноситель (жидкость). Теплоноситель нагревается в солнечном коллекторе энергией солнца и отдает затем тепловую энергию воде через теплообменник, вмонтированный в бак-аккумулятор. В баке-аккумуляторе хранится горячая вода до момента ее использования, поэтому он должен иметь хорошую теплоизоляцию. В первом контуре, где расположен солнечный коллектор, может использоваться естественная или принудительная циркуляция теплоносителя. В бак-аккумулятор может устанавливаться электрический нагреватель-дублер. В случае понижения температуры воды в баке-аккумуляторе ниже установленной (продолжительная пасмурная погода или малое количество часов солнечного сияния зимой) нагреватель-дублер автоматически включается и догревает воду до заданной температуры.</w:t>
      </w:r>
    </w:p>
    <w:p w14:paraId="3214B4CA">
      <w:pPr>
        <w:shd w:val="clear" w:color="auto" w:fill="FFFFFF"/>
        <w:spacing w:after="100" w:afterAutospacing="1" w:line="360" w:lineRule="auto"/>
        <w:jc w:val="center"/>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drawing>
          <wp:inline distT="0" distB="0" distL="0" distR="0">
            <wp:extent cx="3778885" cy="2133600"/>
            <wp:effectExtent l="0" t="0" r="0" b="0"/>
            <wp:docPr id="26" name="Рисунок 22" descr="схема работы солнечных коллекторов, солнечное отопление, солнечные водонагреват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2" descr="схема работы солнечных коллекторов, солнечное отопление, солнечные водонагреватели"/>
                    <pic:cNvPicPr>
                      <a:picLocks noChangeAspect="1" noChangeArrowheads="1"/>
                    </pic:cNvPicPr>
                  </pic:nvPicPr>
                  <pic:blipFill>
                    <a:blip r:embed="rId16" cstate="print"/>
                    <a:srcRect/>
                    <a:stretch>
                      <a:fillRect/>
                    </a:stretch>
                  </pic:blipFill>
                  <pic:spPr>
                    <a:xfrm>
                      <a:off x="0" y="0"/>
                      <a:ext cx="3796538" cy="2143567"/>
                    </a:xfrm>
                    <a:prstGeom prst="rect">
                      <a:avLst/>
                    </a:prstGeom>
                    <a:noFill/>
                    <a:ln w="9525">
                      <a:noFill/>
                      <a:miter lim="800000"/>
                      <a:headEnd/>
                      <a:tailEnd/>
                    </a:ln>
                  </pic:spPr>
                </pic:pic>
              </a:graphicData>
            </a:graphic>
          </wp:inline>
        </w:drawing>
      </w:r>
    </w:p>
    <w:p w14:paraId="5A1C81A4">
      <w:pPr>
        <w:jc w:val="center"/>
        <w:rPr>
          <w:rFonts w:ascii="Times New Roman" w:hAnsi="Times New Roman" w:cs="Times New Roman"/>
          <w:b/>
          <w:sz w:val="28"/>
          <w:szCs w:val="28"/>
        </w:rPr>
      </w:pPr>
      <w:r>
        <w:rPr>
          <w:rFonts w:ascii="Times New Roman" w:hAnsi="Times New Roman" w:cs="Times New Roman"/>
          <w:b/>
          <w:sz w:val="28"/>
          <w:szCs w:val="28"/>
        </w:rPr>
        <w:t>Рисунок 4.10. Солнечный коллектор</w:t>
      </w:r>
    </w:p>
    <w:p w14:paraId="6697DACD">
      <w:pPr>
        <w:jc w:val="center"/>
        <w:rPr>
          <w:rFonts w:ascii="Times New Roman" w:hAnsi="Times New Roman" w:cs="Times New Roman"/>
          <w:b/>
          <w:sz w:val="28"/>
          <w:szCs w:val="28"/>
        </w:rPr>
      </w:pPr>
    </w:p>
    <w:p w14:paraId="295294C5">
      <w:pPr>
        <w:jc w:val="center"/>
        <w:rPr>
          <w:rFonts w:ascii="Times New Roman" w:hAnsi="Times New Roman" w:cs="Times New Roman"/>
          <w:b/>
          <w:sz w:val="28"/>
          <w:szCs w:val="28"/>
        </w:rPr>
      </w:pPr>
      <w:r>
        <w:rPr>
          <w:rFonts w:ascii="Times New Roman" w:hAnsi="Times New Roman" w:cs="Times New Roman"/>
          <w:b/>
          <w:sz w:val="28"/>
          <w:szCs w:val="28"/>
        </w:rPr>
        <w:t>Типы солнечных коллекторов</w:t>
      </w:r>
    </w:p>
    <w:p w14:paraId="2AEC81FC">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Есть два основных типа солнечных коллекторов, используемых в мире для нагрева воды - плоские и вакуумные. Плоские коллекторы являются традиционными, похожими на изначальную модель. Это плоская коробка, закрытая стеклом, под которым находится абсорбирующий тепло слой с трубками, по которым проходит теплоноситель (обычно пропилен-гликоль).</w:t>
      </w:r>
    </w:p>
    <w:p w14:paraId="7264EBA8">
      <w:pPr>
        <w:spacing w:after="0" w:line="360" w:lineRule="auto"/>
        <w:ind w:firstLine="709"/>
        <w:jc w:val="both"/>
        <w:rPr>
          <w:rFonts w:ascii="Times New Roman" w:hAnsi="Times New Roman" w:eastAsia="Times New Roman" w:cs="Times New Roman"/>
          <w:sz w:val="28"/>
          <w:szCs w:val="28"/>
          <w:lang w:eastAsia="ru-RU"/>
        </w:rPr>
      </w:pPr>
    </w:p>
    <w:p w14:paraId="2C4829C1">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956300" cy="2766060"/>
            <wp:effectExtent l="0" t="0" r="6350" b="0"/>
            <wp:docPr id="3" name="Рисунок 3" descr="http://ecohub.ru/assets/images/news/denslonca/pho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http://ecohub.ru/assets/images/news/denslonca/photo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56300" cy="2766060"/>
                    </a:xfrm>
                    <a:prstGeom prst="rect">
                      <a:avLst/>
                    </a:prstGeom>
                    <a:noFill/>
                    <a:ln>
                      <a:noFill/>
                    </a:ln>
                  </pic:spPr>
                </pic:pic>
              </a:graphicData>
            </a:graphic>
          </wp:inline>
        </w:drawing>
      </w:r>
    </w:p>
    <w:p w14:paraId="7D42CA53">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4.11. Структура солнечного коллектора</w:t>
      </w:r>
    </w:p>
    <w:p w14:paraId="530658A1">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p>
    <w:p w14:paraId="0F5D213F">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Вакуумные коллекторы были изобретены в конце 1970х - начале 1980х годов. К моменту, когда можно было начать их массовое производство, энергетический кризис миновал и спрос на солнечные коллекторы был низким. Основные инвестиции в эту отрасль начали производиться в Китае со второй половины 1990х годов и с тех пор наблюдается непрерывный и возрастающий рост производства ваккуумных солнечных коллекторов. Сейчас примерно две трети используемых солнечных коллекторов в мире - это вакуумные и одна треть - плоские.</w:t>
      </w:r>
    </w:p>
    <w:p w14:paraId="1AAF6573">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В вакуумном коллекторе вместо одной покрытой стеклом коробки используется ряд больших полых стеклянных трубок. Внутри каждой из них находится еще одна (или более) в которой содержится абсорбер тепла, нагревающий теплоноситель. Между внешней и внутренней трубкой находится вакуум, который служит теплоизолятором.</w:t>
      </w:r>
    </w:p>
    <w:p w14:paraId="50C88DDB">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Какой тип коллекторов лучше? Однозначного ответа нет. У каждого вида солнечных коллекторов есть свои недостатки и преимущества.</w:t>
      </w:r>
    </w:p>
    <w:p w14:paraId="0506189C">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 плоские считаются более прочными и надежными, поскольку имеют более простую конструкцию. вакуумные потенциально более хрупкие.</w:t>
      </w:r>
    </w:p>
    <w:p w14:paraId="6EFB9D63">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 в случае повреждения плоского коллектора, требуется замена целиком, при повреждении вакуумного, следует заменить лишь те трубки, которые были повреждены и модуль в это время может работать</w:t>
      </w:r>
    </w:p>
    <w:p w14:paraId="477A4C06">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 вакуумные коллекторы более эффективны, когда необходимо нагреть воду до высокой температуры</w:t>
      </w:r>
    </w:p>
    <w:p w14:paraId="0169F616">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 вакуумные коллекторы более эффективны в зимнее время, поскольку у них ниже теплопотери от контакта с окружающей средой, а также дают больше энергии в пасмурную погоду</w:t>
      </w:r>
    </w:p>
    <w:p w14:paraId="035D8C31">
      <w:pPr>
        <w:shd w:val="clear" w:color="auto" w:fill="FFFFFF"/>
        <w:spacing w:after="0" w:line="360" w:lineRule="auto"/>
        <w:ind w:firstLine="709"/>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 нормальный срок службы солнечных коллекторов 15-30 лет, вакуумные коллекторы рассчитаны на такой же срок службы, но большинство существующих коллекторов пока еще не работали столь долго</w:t>
      </w:r>
    </w:p>
    <w:p w14:paraId="5FFAA29D">
      <w:pPr>
        <w:shd w:val="clear" w:color="auto" w:fill="FFFFFF"/>
        <w:tabs>
          <w:tab w:val="left" w:pos="7980"/>
          <w:tab w:val="right" w:pos="9355"/>
        </w:tabs>
        <w:spacing w:before="100" w:beforeAutospacing="1" w:after="0" w:line="240" w:lineRule="auto"/>
        <w:ind w:left="709"/>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ab/>
      </w:r>
      <w:r>
        <w:rPr>
          <w:rFonts w:ascii="Times New Roman" w:hAnsi="Times New Roman" w:eastAsia="Times New Roman" w:cs="Times New Roman"/>
          <w:color w:val="000000"/>
          <w:sz w:val="28"/>
          <w:szCs w:val="28"/>
          <w:lang w:eastAsia="ru-RU"/>
        </w:rPr>
        <w:t>Таблица 3</w:t>
      </w:r>
    </w:p>
    <w:p w14:paraId="4782B6AE">
      <w:pPr>
        <w:shd w:val="clear" w:color="auto" w:fill="FFFFFF"/>
        <w:spacing w:before="100" w:beforeAutospacing="1" w:after="0" w:line="240" w:lineRule="auto"/>
        <w:jc w:val="center"/>
        <w:rPr>
          <w:rFonts w:ascii="Times New Roman" w:hAnsi="Times New Roman" w:eastAsia="Times New Roman" w:cs="Times New Roman"/>
          <w:b/>
          <w:color w:val="000000"/>
          <w:sz w:val="28"/>
          <w:szCs w:val="28"/>
          <w:lang w:eastAsia="ru-RU"/>
        </w:rPr>
      </w:pPr>
      <w:r>
        <w:rPr>
          <w:rFonts w:ascii="Times New Roman" w:hAnsi="Times New Roman" w:eastAsia="Times New Roman" w:cs="Times New Roman"/>
          <w:b/>
          <w:color w:val="000000"/>
          <w:sz w:val="28"/>
          <w:szCs w:val="28"/>
          <w:lang w:eastAsia="ru-RU"/>
        </w:rPr>
        <w:t>Преимущества солнечных систем</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5522"/>
      </w:tblGrid>
      <w:tr w14:paraId="3B212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DEEAF6" w:themeFill="accent1" w:themeFillTint="33"/>
          </w:tcPr>
          <w:p w14:paraId="3B668FA0">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Преимущество</w:t>
            </w:r>
          </w:p>
        </w:tc>
        <w:tc>
          <w:tcPr>
            <w:tcW w:w="5522" w:type="dxa"/>
            <w:shd w:val="clear" w:color="auto" w:fill="DEEAF6" w:themeFill="accent1" w:themeFillTint="33"/>
          </w:tcPr>
          <w:p w14:paraId="27A05506">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Описание</w:t>
            </w:r>
          </w:p>
        </w:tc>
      </w:tr>
      <w:tr w14:paraId="48EB9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FEF2CC" w:themeFill="accent4" w:themeFillTint="33"/>
          </w:tcPr>
          <w:p w14:paraId="1616EC3E">
            <w:pPr>
              <w:spacing w:after="0" w:line="240" w:lineRule="auto"/>
              <w:rPr>
                <w:rFonts w:ascii="Times New Roman" w:hAnsi="Times New Roman" w:cs="Times New Roman"/>
                <w:sz w:val="26"/>
                <w:szCs w:val="26"/>
              </w:rPr>
            </w:pPr>
            <w:r>
              <w:rPr>
                <w:rFonts w:ascii="Times New Roman" w:hAnsi="Times New Roman" w:cs="Times New Roman"/>
                <w:sz w:val="26"/>
                <w:szCs w:val="26"/>
              </w:rPr>
              <w:t>Снижение углеродного следа</w:t>
            </w:r>
          </w:p>
        </w:tc>
        <w:tc>
          <w:tcPr>
            <w:tcW w:w="5522" w:type="dxa"/>
            <w:shd w:val="clear" w:color="auto" w:fill="FEF2CC" w:themeFill="accent4" w:themeFillTint="33"/>
          </w:tcPr>
          <w:p w14:paraId="669FB8D1">
            <w:pPr>
              <w:spacing w:after="0" w:line="240" w:lineRule="auto"/>
              <w:rPr>
                <w:rFonts w:ascii="Times New Roman" w:hAnsi="Times New Roman" w:cs="Times New Roman"/>
                <w:sz w:val="26"/>
                <w:szCs w:val="26"/>
              </w:rPr>
            </w:pPr>
            <w:r>
              <w:rPr>
                <w:rFonts w:ascii="Times New Roman" w:hAnsi="Times New Roman" w:cs="Times New Roman"/>
                <w:sz w:val="26"/>
                <w:szCs w:val="26"/>
              </w:rPr>
              <w:t>Снижение выбросов CO2 при производстве электроэнергии</w:t>
            </w:r>
          </w:p>
        </w:tc>
      </w:tr>
      <w:tr w14:paraId="0C47E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E2EFD9" w:themeFill="accent6" w:themeFillTint="33"/>
          </w:tcPr>
          <w:p w14:paraId="51E01A6F">
            <w:pPr>
              <w:spacing w:after="0" w:line="240" w:lineRule="auto"/>
              <w:rPr>
                <w:rFonts w:ascii="Times New Roman" w:hAnsi="Times New Roman" w:cs="Times New Roman"/>
                <w:sz w:val="26"/>
                <w:szCs w:val="26"/>
              </w:rPr>
            </w:pPr>
            <w:r>
              <w:rPr>
                <w:rFonts w:ascii="Times New Roman" w:hAnsi="Times New Roman" w:cs="Times New Roman"/>
                <w:sz w:val="26"/>
                <w:szCs w:val="26"/>
              </w:rPr>
              <w:t>Экономическая выгода</w:t>
            </w:r>
          </w:p>
        </w:tc>
        <w:tc>
          <w:tcPr>
            <w:tcW w:w="5522" w:type="dxa"/>
            <w:shd w:val="clear" w:color="auto" w:fill="E2EFD9" w:themeFill="accent6" w:themeFillTint="33"/>
          </w:tcPr>
          <w:p w14:paraId="25BE5669">
            <w:pPr>
              <w:spacing w:after="0" w:line="240" w:lineRule="auto"/>
              <w:rPr>
                <w:rFonts w:ascii="Times New Roman" w:hAnsi="Times New Roman" w:cs="Times New Roman"/>
                <w:sz w:val="26"/>
                <w:szCs w:val="26"/>
              </w:rPr>
            </w:pPr>
            <w:r>
              <w:rPr>
                <w:rFonts w:ascii="Times New Roman" w:hAnsi="Times New Roman" w:cs="Times New Roman"/>
                <w:sz w:val="26"/>
                <w:szCs w:val="26"/>
              </w:rPr>
              <w:t>Снижение затрат на электроэнергию, возможность продажи излишков энергии</w:t>
            </w:r>
          </w:p>
        </w:tc>
      </w:tr>
      <w:tr w14:paraId="684BD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FEF2CC" w:themeFill="accent4" w:themeFillTint="33"/>
          </w:tcPr>
          <w:p w14:paraId="725A14CB">
            <w:pPr>
              <w:spacing w:after="0" w:line="240" w:lineRule="auto"/>
              <w:rPr>
                <w:rFonts w:ascii="Times New Roman" w:hAnsi="Times New Roman" w:cs="Times New Roman"/>
                <w:sz w:val="26"/>
                <w:szCs w:val="26"/>
              </w:rPr>
            </w:pPr>
            <w:r>
              <w:rPr>
                <w:rFonts w:ascii="Times New Roman" w:hAnsi="Times New Roman" w:cs="Times New Roman"/>
                <w:sz w:val="26"/>
                <w:szCs w:val="26"/>
              </w:rPr>
              <w:t>Энергонезависимость</w:t>
            </w:r>
          </w:p>
        </w:tc>
        <w:tc>
          <w:tcPr>
            <w:tcW w:w="5522" w:type="dxa"/>
            <w:shd w:val="clear" w:color="auto" w:fill="FEF2CC" w:themeFill="accent4" w:themeFillTint="33"/>
          </w:tcPr>
          <w:p w14:paraId="7FD54E4C">
            <w:pPr>
              <w:spacing w:after="0" w:line="240" w:lineRule="auto"/>
              <w:rPr>
                <w:rFonts w:ascii="Times New Roman" w:hAnsi="Times New Roman" w:cs="Times New Roman"/>
                <w:sz w:val="26"/>
                <w:szCs w:val="26"/>
              </w:rPr>
            </w:pPr>
            <w:r>
              <w:rPr>
                <w:rFonts w:ascii="Times New Roman" w:hAnsi="Times New Roman" w:cs="Times New Roman"/>
                <w:sz w:val="26"/>
                <w:szCs w:val="26"/>
              </w:rPr>
              <w:t>Независимость от традиционных источников энергии и колебаний цен на энергоносители</w:t>
            </w:r>
          </w:p>
        </w:tc>
      </w:tr>
      <w:tr w14:paraId="298E0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E2EFD9" w:themeFill="accent6" w:themeFillTint="33"/>
          </w:tcPr>
          <w:p w14:paraId="4968D358">
            <w:pPr>
              <w:spacing w:after="0" w:line="240" w:lineRule="auto"/>
              <w:rPr>
                <w:rFonts w:ascii="Times New Roman" w:hAnsi="Times New Roman" w:cs="Times New Roman"/>
                <w:sz w:val="26"/>
                <w:szCs w:val="26"/>
              </w:rPr>
            </w:pPr>
            <w:r>
              <w:rPr>
                <w:rFonts w:ascii="Times New Roman" w:hAnsi="Times New Roman" w:cs="Times New Roman"/>
                <w:sz w:val="26"/>
                <w:szCs w:val="26"/>
              </w:rPr>
              <w:t>Долговечность</w:t>
            </w:r>
          </w:p>
        </w:tc>
        <w:tc>
          <w:tcPr>
            <w:tcW w:w="5522" w:type="dxa"/>
            <w:shd w:val="clear" w:color="auto" w:fill="E2EFD9" w:themeFill="accent6" w:themeFillTint="33"/>
          </w:tcPr>
          <w:p w14:paraId="352AB530">
            <w:pPr>
              <w:spacing w:after="0" w:line="240" w:lineRule="auto"/>
              <w:rPr>
                <w:rFonts w:ascii="Times New Roman" w:hAnsi="Times New Roman" w:cs="Times New Roman"/>
                <w:sz w:val="26"/>
                <w:szCs w:val="26"/>
              </w:rPr>
            </w:pPr>
            <w:r>
              <w:rPr>
                <w:rFonts w:ascii="Times New Roman" w:hAnsi="Times New Roman" w:cs="Times New Roman"/>
                <w:sz w:val="26"/>
                <w:szCs w:val="26"/>
              </w:rPr>
              <w:t>Длительный срок службы панелей</w:t>
            </w:r>
          </w:p>
        </w:tc>
      </w:tr>
      <w:tr w14:paraId="69FB8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FEF2CC" w:themeFill="accent4" w:themeFillTint="33"/>
          </w:tcPr>
          <w:p w14:paraId="63529492">
            <w:pPr>
              <w:spacing w:after="0" w:line="240" w:lineRule="auto"/>
              <w:rPr>
                <w:rFonts w:ascii="Times New Roman" w:hAnsi="Times New Roman" w:cs="Times New Roman"/>
                <w:sz w:val="26"/>
                <w:szCs w:val="26"/>
              </w:rPr>
            </w:pPr>
            <w:r>
              <w:rPr>
                <w:rFonts w:ascii="Times New Roman" w:hAnsi="Times New Roman" w:cs="Times New Roman"/>
                <w:sz w:val="26"/>
                <w:szCs w:val="26"/>
              </w:rPr>
              <w:t>Низкие эксплуатационные расходы</w:t>
            </w:r>
          </w:p>
        </w:tc>
        <w:tc>
          <w:tcPr>
            <w:tcW w:w="5522" w:type="dxa"/>
            <w:shd w:val="clear" w:color="auto" w:fill="FEF2CC" w:themeFill="accent4" w:themeFillTint="33"/>
          </w:tcPr>
          <w:p w14:paraId="720BD4D6">
            <w:pPr>
              <w:spacing w:after="0" w:line="240" w:lineRule="auto"/>
              <w:rPr>
                <w:rFonts w:ascii="Times New Roman" w:hAnsi="Times New Roman" w:cs="Times New Roman"/>
                <w:sz w:val="26"/>
                <w:szCs w:val="26"/>
              </w:rPr>
            </w:pPr>
            <w:r>
              <w:rPr>
                <w:rFonts w:ascii="Times New Roman" w:hAnsi="Times New Roman" w:cs="Times New Roman"/>
                <w:sz w:val="26"/>
                <w:szCs w:val="26"/>
              </w:rPr>
              <w:t>Минимальные затраты на обслуживание после установки</w:t>
            </w:r>
          </w:p>
        </w:tc>
      </w:tr>
      <w:tr w14:paraId="0E7D0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E2EFD9" w:themeFill="accent6" w:themeFillTint="33"/>
          </w:tcPr>
          <w:p w14:paraId="6A89354A">
            <w:pPr>
              <w:spacing w:after="0" w:line="240" w:lineRule="auto"/>
              <w:rPr>
                <w:rFonts w:ascii="Times New Roman" w:hAnsi="Times New Roman" w:cs="Times New Roman"/>
                <w:sz w:val="26"/>
                <w:szCs w:val="26"/>
              </w:rPr>
            </w:pPr>
            <w:r>
              <w:rPr>
                <w:rFonts w:ascii="Times New Roman" w:hAnsi="Times New Roman" w:cs="Times New Roman"/>
                <w:sz w:val="26"/>
                <w:szCs w:val="26"/>
              </w:rPr>
              <w:t>Быстрая окупаемость</w:t>
            </w:r>
          </w:p>
        </w:tc>
        <w:tc>
          <w:tcPr>
            <w:tcW w:w="5522" w:type="dxa"/>
            <w:shd w:val="clear" w:color="auto" w:fill="E2EFD9" w:themeFill="accent6" w:themeFillTint="33"/>
          </w:tcPr>
          <w:p w14:paraId="1B451CF8">
            <w:pPr>
              <w:spacing w:after="0" w:line="240" w:lineRule="auto"/>
              <w:rPr>
                <w:rFonts w:ascii="Times New Roman" w:hAnsi="Times New Roman" w:cs="Times New Roman"/>
                <w:sz w:val="26"/>
                <w:szCs w:val="26"/>
              </w:rPr>
            </w:pPr>
            <w:r>
              <w:rPr>
                <w:rFonts w:ascii="Times New Roman" w:hAnsi="Times New Roman" w:cs="Times New Roman"/>
                <w:sz w:val="26"/>
                <w:szCs w:val="26"/>
              </w:rPr>
              <w:t>Снижение счетов за электроэнергию позволяет быстро окупить затраты на установку системы</w:t>
            </w:r>
          </w:p>
        </w:tc>
      </w:tr>
      <w:tr w14:paraId="2AC05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FEF2CC" w:themeFill="accent4" w:themeFillTint="33"/>
          </w:tcPr>
          <w:p w14:paraId="74542EB0">
            <w:pPr>
              <w:spacing w:after="0" w:line="240" w:lineRule="auto"/>
              <w:rPr>
                <w:rFonts w:ascii="Times New Roman" w:hAnsi="Times New Roman" w:cs="Times New Roman"/>
                <w:sz w:val="26"/>
                <w:szCs w:val="26"/>
              </w:rPr>
            </w:pPr>
            <w:r>
              <w:rPr>
                <w:rFonts w:ascii="Times New Roman" w:hAnsi="Times New Roman" w:cs="Times New Roman"/>
                <w:sz w:val="26"/>
                <w:szCs w:val="26"/>
              </w:rPr>
              <w:t>Устойчивость к внешним условиям</w:t>
            </w:r>
          </w:p>
        </w:tc>
        <w:tc>
          <w:tcPr>
            <w:tcW w:w="5522" w:type="dxa"/>
            <w:shd w:val="clear" w:color="auto" w:fill="FEF2CC" w:themeFill="accent4" w:themeFillTint="33"/>
          </w:tcPr>
          <w:p w14:paraId="08AA17AB">
            <w:pPr>
              <w:spacing w:after="0" w:line="240" w:lineRule="auto"/>
              <w:rPr>
                <w:rFonts w:ascii="Times New Roman" w:hAnsi="Times New Roman" w:cs="Times New Roman"/>
                <w:sz w:val="26"/>
                <w:szCs w:val="26"/>
              </w:rPr>
            </w:pPr>
            <w:r>
              <w:rPr>
                <w:rFonts w:ascii="Times New Roman" w:hAnsi="Times New Roman" w:cs="Times New Roman"/>
                <w:sz w:val="26"/>
                <w:szCs w:val="26"/>
              </w:rPr>
              <w:t>Современные солнечные панели устойчивы к различным погодным условиям, включая град, снег и высокие температуры</w:t>
            </w:r>
          </w:p>
        </w:tc>
      </w:tr>
      <w:tr w14:paraId="6A069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E2EFD9" w:themeFill="accent6" w:themeFillTint="33"/>
          </w:tcPr>
          <w:p w14:paraId="6C00BFAF">
            <w:pPr>
              <w:spacing w:after="0" w:line="240" w:lineRule="auto"/>
              <w:rPr>
                <w:rFonts w:ascii="Times New Roman" w:hAnsi="Times New Roman" w:cs="Times New Roman"/>
                <w:sz w:val="26"/>
                <w:szCs w:val="26"/>
              </w:rPr>
            </w:pPr>
            <w:r>
              <w:rPr>
                <w:rFonts w:ascii="Times New Roman" w:hAnsi="Times New Roman" w:cs="Times New Roman"/>
                <w:sz w:val="26"/>
                <w:szCs w:val="26"/>
              </w:rPr>
              <w:t>Возможность масштабирования</w:t>
            </w:r>
          </w:p>
        </w:tc>
        <w:tc>
          <w:tcPr>
            <w:tcW w:w="5522" w:type="dxa"/>
            <w:shd w:val="clear" w:color="auto" w:fill="E2EFD9" w:themeFill="accent6" w:themeFillTint="33"/>
          </w:tcPr>
          <w:p w14:paraId="40473A67">
            <w:pPr>
              <w:spacing w:after="0" w:line="240" w:lineRule="auto"/>
              <w:rPr>
                <w:rFonts w:ascii="Times New Roman" w:hAnsi="Times New Roman" w:cs="Times New Roman"/>
                <w:sz w:val="26"/>
                <w:szCs w:val="26"/>
              </w:rPr>
            </w:pPr>
            <w:r>
              <w:rPr>
                <w:rFonts w:ascii="Times New Roman" w:hAnsi="Times New Roman" w:cs="Times New Roman"/>
                <w:sz w:val="26"/>
                <w:szCs w:val="26"/>
              </w:rPr>
              <w:t>Легкость добавления дополнительных панелей для увеличения производительности</w:t>
            </w:r>
          </w:p>
        </w:tc>
      </w:tr>
      <w:tr w14:paraId="1FBB4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4" w:type="dxa"/>
            <w:shd w:val="clear" w:color="auto" w:fill="FEF2CC" w:themeFill="accent4" w:themeFillTint="33"/>
          </w:tcPr>
          <w:p w14:paraId="58755165">
            <w:pPr>
              <w:spacing w:after="0" w:line="240" w:lineRule="auto"/>
              <w:rPr>
                <w:rFonts w:ascii="Times New Roman" w:hAnsi="Times New Roman" w:cs="Times New Roman"/>
                <w:sz w:val="26"/>
                <w:szCs w:val="26"/>
              </w:rPr>
            </w:pPr>
            <w:r>
              <w:rPr>
                <w:rFonts w:ascii="Times New Roman" w:hAnsi="Times New Roman" w:cs="Times New Roman"/>
                <w:sz w:val="26"/>
                <w:szCs w:val="26"/>
              </w:rPr>
              <w:t>Поддержка возобновляемых источников</w:t>
            </w:r>
          </w:p>
        </w:tc>
        <w:tc>
          <w:tcPr>
            <w:tcW w:w="5522" w:type="dxa"/>
            <w:shd w:val="clear" w:color="auto" w:fill="FEF2CC" w:themeFill="accent4" w:themeFillTint="33"/>
          </w:tcPr>
          <w:p w14:paraId="2465C2C8">
            <w:pPr>
              <w:spacing w:after="0" w:line="240" w:lineRule="auto"/>
              <w:rPr>
                <w:rFonts w:ascii="Times New Roman" w:hAnsi="Times New Roman" w:cs="Times New Roman"/>
                <w:sz w:val="26"/>
                <w:szCs w:val="26"/>
              </w:rPr>
            </w:pPr>
            <w:r>
              <w:rPr>
                <w:rFonts w:ascii="Times New Roman" w:hAnsi="Times New Roman" w:cs="Times New Roman"/>
                <w:sz w:val="26"/>
                <w:szCs w:val="26"/>
              </w:rPr>
              <w:t>Снижение зависимости от ископаемых видов топлива и поддержка устойчивого развития</w:t>
            </w:r>
          </w:p>
        </w:tc>
      </w:tr>
    </w:tbl>
    <w:p w14:paraId="7266BBBA">
      <w:pPr>
        <w:shd w:val="clear" w:color="auto" w:fill="FFFFFF"/>
        <w:spacing w:before="100" w:beforeAutospacing="1" w:after="0" w:line="360" w:lineRule="auto"/>
        <w:ind w:left="709"/>
        <w:jc w:val="both"/>
        <w:rPr>
          <w:rFonts w:ascii="Times New Roman" w:hAnsi="Times New Roman" w:eastAsia="Times New Roman" w:cs="Times New Roman"/>
          <w:color w:val="000000"/>
          <w:sz w:val="28"/>
          <w:szCs w:val="28"/>
          <w:lang w:eastAsia="ru-RU"/>
        </w:rPr>
      </w:pPr>
    </w:p>
    <w:p w14:paraId="0CCB3809">
      <w:pPr>
        <w:spacing w:after="0" w:line="360" w:lineRule="auto"/>
        <w:jc w:val="center"/>
        <w:rPr>
          <w:rFonts w:ascii="Times New Roman" w:hAnsi="Times New Roman" w:eastAsia="Times New Roman" w:cs="Times New Roman"/>
          <w:b/>
          <w:color w:val="000000"/>
          <w:sz w:val="28"/>
          <w:szCs w:val="28"/>
          <w:shd w:val="clear" w:color="auto" w:fill="FFFFFF"/>
          <w:lang w:eastAsia="ru-RU"/>
        </w:rPr>
      </w:pPr>
      <w:r>
        <w:rPr>
          <w:rFonts w:ascii="Times New Roman" w:hAnsi="Times New Roman" w:eastAsia="Times New Roman" w:cs="Times New Roman"/>
          <w:b/>
          <w:color w:val="000000"/>
          <w:sz w:val="28"/>
          <w:szCs w:val="28"/>
          <w:shd w:val="clear" w:color="auto" w:fill="FFFFFF"/>
          <w:lang w:eastAsia="ru-RU"/>
        </w:rPr>
        <w:t>4.3. Солнечная энергия для электрических устройств преобразования энергии, фотоэлектрических элементов</w:t>
      </w:r>
    </w:p>
    <w:p w14:paraId="4C785AF6">
      <w:pPr>
        <w:tabs>
          <w:tab w:val="left" w:pos="369"/>
        </w:tabs>
        <w:spacing w:after="0" w:line="360" w:lineRule="auto"/>
        <w:ind w:left="-57" w:firstLine="709"/>
        <w:jc w:val="both"/>
        <w:rPr>
          <w:rFonts w:ascii="Times New Roman" w:hAnsi="Times New Roman" w:eastAsia="Calibri" w:cs="Times New Roman"/>
          <w:b/>
          <w:sz w:val="28"/>
          <w:szCs w:val="28"/>
        </w:rPr>
      </w:pPr>
      <w:r>
        <w:rPr>
          <w:rFonts w:ascii="Times New Roman" w:hAnsi="Times New Roman" w:eastAsia="Calibri" w:cs="Times New Roman"/>
          <w:b/>
          <w:sz w:val="28"/>
          <w:szCs w:val="28"/>
        </w:rPr>
        <w:t>Регулированные пределы преобразуемой солнечной энергии:</w:t>
      </w:r>
    </w:p>
    <w:p w14:paraId="05738035">
      <w:pPr>
        <w:spacing w:after="0" w:line="360" w:lineRule="auto"/>
        <w:ind w:left="-57"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поглощении света полупроводниковой структурой происходит пространственное разделение положительных и отрицательных носителей тока, а в замкнутой цепи - это устройство является источником электрической энергии. Внутренние поля фотоэлементов на основе структур полупроводник - полупроводник или металл - полупроводник создают разность потенциалов около 0,5 В и плотность тока порядка 200 А</w:t>
      </w:r>
      <w:r>
        <w:rPr>
          <w:rFonts w:ascii="Times New Roman" w:hAnsi="Times New Roman" w:eastAsia="Times New Roman" w:cs="Times New Roman"/>
          <w:sz w:val="28"/>
          <w:szCs w:val="28"/>
          <w:lang w:eastAsia="ru-RU"/>
        </w:rPr>
        <w:sym w:font="Symbol" w:char="F0D7"/>
      </w:r>
      <w:r>
        <w:rPr>
          <w:rFonts w:ascii="Times New Roman" w:hAnsi="Times New Roman" w:eastAsia="Times New Roman" w:cs="Times New Roman"/>
          <w:sz w:val="28"/>
          <w:szCs w:val="28"/>
          <w:lang w:eastAsia="ru-RU"/>
        </w:rPr>
        <w:t>м</w:t>
      </w:r>
      <w:r>
        <w:rPr>
          <w:rFonts w:ascii="Times New Roman" w:hAnsi="Times New Roman" w:eastAsia="Times New Roman" w:cs="Times New Roman"/>
          <w:sz w:val="28"/>
          <w:szCs w:val="28"/>
          <w:vertAlign w:val="superscript"/>
          <w:lang w:eastAsia="ru-RU"/>
        </w:rPr>
        <w:t>-2</w:t>
      </w:r>
      <w:r>
        <w:rPr>
          <w:rFonts w:ascii="Times New Roman" w:hAnsi="Times New Roman" w:eastAsia="Times New Roman" w:cs="Times New Roman"/>
          <w:sz w:val="28"/>
          <w:szCs w:val="28"/>
          <w:lang w:eastAsia="ru-RU"/>
        </w:rPr>
        <w:t xml:space="preserve"> при плотности потока солнечного излучения около 1 кВт</w:t>
      </w:r>
      <w:r>
        <w:rPr>
          <w:rFonts w:ascii="Times New Roman" w:hAnsi="Times New Roman" w:eastAsia="Times New Roman" w:cs="Times New Roman"/>
          <w:sz w:val="28"/>
          <w:szCs w:val="28"/>
          <w:lang w:eastAsia="ru-RU"/>
        </w:rPr>
        <w:sym w:font="Symbol" w:char="F0D7"/>
      </w:r>
      <w:r>
        <w:rPr>
          <w:rFonts w:ascii="Times New Roman" w:hAnsi="Times New Roman" w:eastAsia="Times New Roman" w:cs="Times New Roman"/>
          <w:sz w:val="28"/>
          <w:szCs w:val="28"/>
          <w:lang w:eastAsia="ru-RU"/>
        </w:rPr>
        <w:t>м</w:t>
      </w:r>
      <w:r>
        <w:rPr>
          <w:rFonts w:ascii="Times New Roman" w:hAnsi="Times New Roman" w:eastAsia="Times New Roman" w:cs="Times New Roman"/>
          <w:sz w:val="28"/>
          <w:szCs w:val="28"/>
          <w:vertAlign w:val="superscript"/>
          <w:lang w:eastAsia="ru-RU"/>
        </w:rPr>
        <w:t>-2</w:t>
      </w:r>
      <w:r>
        <w:rPr>
          <w:rFonts w:ascii="Times New Roman" w:hAnsi="Times New Roman" w:eastAsia="Times New Roman" w:cs="Times New Roman"/>
          <w:sz w:val="28"/>
          <w:szCs w:val="28"/>
          <w:lang w:eastAsia="ru-RU"/>
        </w:rPr>
        <w:t>. Выпускаемые промышленностью фотоэлементы имеют КПД от 10 до 20% при средней облученности и могут вырабатывать от 1 до 2 кВт</w:t>
      </w:r>
      <w:r>
        <w:rPr>
          <w:rFonts w:ascii="Times New Roman" w:hAnsi="Times New Roman" w:eastAsia="Times New Roman" w:cs="Times New Roman"/>
          <w:sz w:val="28"/>
          <w:szCs w:val="28"/>
          <w:lang w:eastAsia="ru-RU"/>
        </w:rPr>
        <w:sym w:font="Symbol" w:char="F0D7"/>
      </w:r>
      <w:r>
        <w:rPr>
          <w:rFonts w:ascii="Times New Roman" w:hAnsi="Times New Roman" w:eastAsia="Times New Roman" w:cs="Times New Roman"/>
          <w:sz w:val="28"/>
          <w:szCs w:val="28"/>
          <w:lang w:eastAsia="ru-RU"/>
        </w:rPr>
        <w:t>м</w:t>
      </w:r>
      <w:r>
        <w:rPr>
          <w:rFonts w:ascii="Times New Roman" w:hAnsi="Times New Roman" w:eastAsia="Times New Roman" w:cs="Times New Roman"/>
          <w:sz w:val="28"/>
          <w:szCs w:val="28"/>
          <w:vertAlign w:val="superscript"/>
          <w:lang w:eastAsia="ru-RU"/>
        </w:rPr>
        <w:t>-2</w:t>
      </w:r>
      <w:r>
        <w:rPr>
          <w:rFonts w:ascii="Times New Roman" w:hAnsi="Times New Roman" w:eastAsia="Times New Roman" w:cs="Times New Roman"/>
          <w:sz w:val="28"/>
          <w:szCs w:val="28"/>
          <w:lang w:eastAsia="ru-RU"/>
        </w:rPr>
        <w:t xml:space="preserve"> электроэнергии в день.</w:t>
      </w:r>
    </w:p>
    <w:p w14:paraId="4877BDD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Эти устройства на полупроводниковых переходах обычно называются </w:t>
      </w:r>
      <w:r>
        <w:rPr>
          <w:rFonts w:ascii="Times New Roman" w:hAnsi="Times New Roman" w:eastAsia="Times New Roman" w:cs="Times New Roman"/>
          <w:b/>
          <w:sz w:val="28"/>
          <w:szCs w:val="28"/>
          <w:lang w:eastAsia="ru-RU"/>
        </w:rPr>
        <w:t>фотоэлементами или солнечными элементами</w:t>
      </w:r>
      <w:r>
        <w:rPr>
          <w:rFonts w:ascii="Times New Roman" w:hAnsi="Times New Roman" w:eastAsia="Times New Roman" w:cs="Times New Roman"/>
          <w:sz w:val="28"/>
          <w:szCs w:val="28"/>
          <w:lang w:eastAsia="ru-RU"/>
        </w:rPr>
        <w:t>. Они сами являются источниками ЭДС. Важно заметить, что фотоэлектрические устройства представляют собой источники электрической энергии, работающие от потока солнечного излучения. Солнечные элементы генерируют ток в прямой зависимости от суточных, сезонных и случайных изменений облученности. Эффективность использования солнечной энергии зависит не только от КПД фотоэлемента, но и от согласованности динамической нагрузки во внешней цепи.</w:t>
      </w:r>
    </w:p>
    <w:p w14:paraId="19494041">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Большинство солнечных элементов представляют собой кремниевые полупроводниковые фотодиоды.</w:t>
      </w:r>
    </w:p>
    <w:p w14:paraId="152BCC4B">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настоящее время с помощью солнечных батарей обеспечиваются электроэнергией искусственные спутники Земли, а также они находят все больше применение в связи и других областях.</w:t>
      </w:r>
    </w:p>
    <w:p w14:paraId="1ED28DC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Полная стоимость солнечной батареи упала примерно в 25 раз за последние 25 лет и в настоящее время приближается к 1 доллар на 1 Вт мощности батареи. Но стоимость фотоэлектрических установок примерно 7-10 долларов за Вт. Стоимость электроэнергии, вырабатываемой модулями, колеблется в пределах 20-30 центов/кВт</w:t>
      </w:r>
      <w:r>
        <w:rPr>
          <w:rFonts w:ascii="Times New Roman" w:hAnsi="Times New Roman" w:eastAsia="Times New Roman" w:cs="Times New Roman"/>
          <w:sz w:val="28"/>
          <w:szCs w:val="28"/>
          <w:vertAlign w:val="superscript"/>
          <w:lang w:eastAsia="ru-RU"/>
        </w:rPr>
        <w:t>.</w:t>
      </w:r>
      <w:r>
        <w:rPr>
          <w:rFonts w:ascii="Times New Roman" w:hAnsi="Times New Roman" w:eastAsia="Times New Roman" w:cs="Times New Roman"/>
          <w:sz w:val="28"/>
          <w:szCs w:val="28"/>
          <w:lang w:eastAsia="ru-RU"/>
        </w:rPr>
        <w:t>час, что значительно превышает стоимость электроэнергии от традиционных источников.</w:t>
      </w:r>
    </w:p>
    <w:p w14:paraId="6E3A53C1">
      <w:pPr>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Эти показатели позволяют конкурировать солнечным батареям с дизельными генераторами, особенно в отдаленных районах при мощности примерно до 20 кВт.</w:t>
      </w:r>
    </w:p>
    <w:p w14:paraId="1A5294D9">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object>
          <v:shape id="_x0000_i1025" o:spt="75" type="#_x0000_t75" style="height:116.4pt;width:282pt;" o:ole="t" fillcolor="#FFFFFF" filled="f" o:preferrelative="t" stroked="f" coordsize="21600,21600">
            <v:path/>
            <v:fill on="f" focussize="0,0"/>
            <v:stroke on="f" joinstyle="miter"/>
            <v:imagedata r:id="rId19" o:title=""/>
            <o:lock v:ext="edit" aspectratio="t"/>
            <w10:wrap type="none"/>
            <w10:anchorlock/>
          </v:shape>
          <o:OLEObject Type="Embed" ProgID="CorelDraw.Graphic.10" ShapeID="_x0000_i1025" DrawAspect="Content" ObjectID="_1468075725" r:id="rId18">
            <o:LockedField>false</o:LockedField>
          </o:OLEObject>
        </w:object>
      </w:r>
    </w:p>
    <w:p w14:paraId="484F43FD">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Рисунок 4.12. Типичная структура солнечного элемента с р-п-переходами</w:t>
      </w:r>
      <w:r>
        <w:rPr>
          <w:rFonts w:ascii="Times New Roman" w:hAnsi="Times New Roman" w:eastAsia="Times New Roman" w:cs="Times New Roman"/>
          <w:sz w:val="28"/>
          <w:szCs w:val="28"/>
          <w:lang w:eastAsia="ru-RU"/>
        </w:rPr>
        <w:t xml:space="preserve">: ДПБ - добавочный потенциальный барьер: 1 - от лицевой поверхности предыдущего элемента; 2 - противоотражательное покрытие; </w:t>
      </w:r>
    </w:p>
    <w:p w14:paraId="252F9561">
      <w:pPr>
        <w:spacing w:after="0" w:line="36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3 - лицевой контакт; 4 - к тыльному контакту следующего элемента; </w:t>
      </w:r>
    </w:p>
    <w:p w14:paraId="11019261">
      <w:pPr>
        <w:spacing w:after="0" w:line="36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5 - металлический контакт с тыльной стороны:</w:t>
      </w:r>
    </w:p>
    <w:p w14:paraId="1E6B371B">
      <w:pPr>
        <w:spacing w:after="0" w:line="360" w:lineRule="auto"/>
        <w:ind w:firstLine="709"/>
        <w:jc w:val="both"/>
        <w:rPr>
          <w:rFonts w:ascii="Times New Roman" w:hAnsi="Times New Roman" w:eastAsia="Times New Roman" w:cs="Times New Roman"/>
          <w:sz w:val="28"/>
          <w:szCs w:val="28"/>
          <w:lang w:eastAsia="ru-RU"/>
        </w:rPr>
      </w:pPr>
    </w:p>
    <w:p w14:paraId="0D638D7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Подробнее рассмотрим кремниевые фотоэлементы с р-</w:t>
      </w:r>
      <w:r>
        <w:rPr>
          <w:rFonts w:ascii="Times New Roman" w:hAnsi="Times New Roman" w:eastAsia="Times New Roman" w:cs="Times New Roman"/>
          <w:sz w:val="28"/>
          <w:szCs w:val="28"/>
          <w:lang w:val="en-US" w:eastAsia="ru-RU"/>
        </w:rPr>
        <w:t>n</w:t>
      </w:r>
      <w:r>
        <w:rPr>
          <w:rFonts w:ascii="Times New Roman" w:hAnsi="Times New Roman" w:eastAsia="Times New Roman" w:cs="Times New Roman"/>
          <w:sz w:val="28"/>
          <w:szCs w:val="28"/>
          <w:lang w:eastAsia="ru-RU"/>
        </w:rPr>
        <w:t>-переходом, поскольку они являются наиболее простыми и широко распространенными. На этой основе могут изучаться и другие модификации фотоэлементов. С этой целью будут даны рекомендации для практического использования солнечных батарей.</w:t>
      </w:r>
    </w:p>
    <w:p w14:paraId="5E42924E">
      <w:pPr>
        <w:spacing w:after="0" w:line="360" w:lineRule="auto"/>
        <w:ind w:firstLine="709"/>
        <w:jc w:val="both"/>
        <w:rPr>
          <w:rFonts w:ascii="Times New Roman" w:hAnsi="Times New Roman" w:eastAsia="Times New Roman" w:cs="Times New Roman"/>
          <w:sz w:val="28"/>
          <w:szCs w:val="28"/>
          <w:lang w:eastAsia="ru-RU"/>
        </w:rPr>
      </w:pPr>
      <w:bookmarkStart w:id="0" w:name="_Toc531498048"/>
      <w:r>
        <w:rPr>
          <w:rFonts w:ascii="Times New Roman" w:hAnsi="Times New Roman" w:eastAsia="Times New Roman" w:cs="Times New Roman"/>
          <w:sz w:val="28"/>
          <w:szCs w:val="28"/>
          <w:lang w:eastAsia="ru-RU"/>
        </w:rPr>
        <w:t>Как вы знаете, кроме проводников и диэлектриков существуют промежуточные материалы под названием полупроводник. И поначалу было непонятно каким образом их можно использовать, но после того как полупроводник пролегировать, то он обретает довольно интересные свойства.</w:t>
      </w:r>
    </w:p>
    <w:p w14:paraId="2F348CD2">
      <w:pPr>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Первым и самым распространенным полупроводниковым элементом является кремний, которого просто огромное количество на нашей Земле (почти 30 % земной коры состоит из этого элемента).</w:t>
      </w:r>
    </w:p>
    <w:p w14:paraId="75908FB4">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Далее идет уже довольно редкий металл как германий (его доля в земной коре порядка 1,5*10-4 %)</w:t>
      </w:r>
    </w:p>
    <w:p w14:paraId="142F7B90">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Учеными было совершено следующее открытие: если в состав кремния добавить мышьяк, то он (кремний) насыщается свободными электронами, а, как известно, материал, в составе которого много свободных электронов является хорошим проводником. Так как электрон имеет отрицательный заряд, то таким образом пролегированный кремний можно считать N (Negative- отрицательный) - проводником.</w:t>
      </w:r>
    </w:p>
    <w:p w14:paraId="02F1A8A2">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тот же самый кремний пролегировать таким элементом как индий, то такой проводник обретает просто уникальные свойства. Если в первом случае у нас с вами появились свободные электроны, то вот во втором варианте получаются положительные свободные заряды.</w:t>
      </w:r>
    </w:p>
    <w:p w14:paraId="52A032A0">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Парадокс в том, что свободных электронов с положительным зарядом нет. Протоны (положительно заряженные частицы) связаны с нейтронами и являются составными частями ядра атома. То есть они не могут переносить положительный заряд. Получается сам заряд есть, а частиц, его переносящих просто нет.</w:t>
      </w:r>
    </w:p>
    <w:p w14:paraId="09BA04BE">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Такие частицы принято называть «дырками» с положительным зарядом. И тот полупроводниковый материал, в составе которого много таких «дырок», называется полупроводником P (Positive - положительный) - типа.</w:t>
      </w:r>
    </w:p>
    <w:p w14:paraId="69E8E20F">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Сам по себе кремний P - типа и N - типа бесполезен, а вот если пластины из данного элемента очень плотно прислонить друг к другу, то как раз в месте соприкосновения и возникает пресловутый P-N переход, который и совершил революцию в современной электронике.</w:t>
      </w:r>
    </w:p>
    <w:p w14:paraId="74B1D6B1">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188585" cy="2042160"/>
            <wp:effectExtent l="0" t="0" r="0" b="0"/>
            <wp:docPr id="21" name="Рисунок 21" descr="Что такое P–N переход, объясняем простыми слов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Что такое P–N переход, объясняем простыми словами"/>
                    <pic:cNvPicPr>
                      <a:picLocks noChangeAspect="1" noChangeArrowheads="1"/>
                    </pic:cNvPicPr>
                  </pic:nvPicPr>
                  <pic:blipFill>
                    <a:blip r:embed="rId20">
                      <a:extLst>
                        <a:ext uri="{28A0092B-C50C-407E-A947-70E740481C1C}">
                          <a14:useLocalDpi xmlns:a14="http://schemas.microsoft.com/office/drawing/2010/main" val="0"/>
                        </a:ext>
                      </a:extLst>
                    </a:blip>
                    <a:srcRect l="2693" t="23480" r="9943" b="28541"/>
                    <a:stretch>
                      <a:fillRect/>
                    </a:stretch>
                  </pic:blipFill>
                  <pic:spPr>
                    <a:xfrm>
                      <a:off x="0" y="0"/>
                      <a:ext cx="5195497" cy="2044880"/>
                    </a:xfrm>
                    <a:prstGeom prst="rect">
                      <a:avLst/>
                    </a:prstGeom>
                    <a:noFill/>
                    <a:ln>
                      <a:noFill/>
                    </a:ln>
                  </pic:spPr>
                </pic:pic>
              </a:graphicData>
            </a:graphic>
          </wp:inline>
        </w:drawing>
      </w:r>
    </w:p>
    <w:p w14:paraId="1BC1B4D6">
      <w:pPr>
        <w:spacing w:after="0" w:line="360" w:lineRule="auto"/>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Рисунок 4.13. Как работает P - N переход</w:t>
      </w:r>
    </w:p>
    <w:p w14:paraId="6E757182">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Итак, такой переход обладает односторонней проводимостью. Давайте возьмем самую обычную воронку:</w:t>
      </w:r>
    </w:p>
    <w:p w14:paraId="55EEE282">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мы с вами будем наливать воду со стороны горлышка, то вся вода довольно легко пройдет через воронку, но стоит нам попробовать налить воду через тонкую часть лейки, то лишь малая часть воды пройдет через нее.</w:t>
      </w:r>
    </w:p>
    <w:p w14:paraId="3AD62214">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и с P-N переходом, если мы к стороне с P - переходом подадим плюс от постоянного источника питания, а на N - переход минус, то ток беспрепятственно пройдет через переход, а вот если мы поменяем плюс и минус местами, то ток не пойдет. прям как в самом обычном диоде.</w:t>
      </w:r>
    </w:p>
    <w:p w14:paraId="6570EF1A">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То есть мы с вами наглядно убедились, что диод, в принцип работы которого заложен P-N переход, при прямом включении пропускает ток, а при обратном нет.</w:t>
      </w:r>
    </w:p>
    <w:p w14:paraId="4A037486">
      <w:pPr>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val="en-US" w:eastAsia="ru-RU"/>
        </w:rPr>
        <w:t>P</w:t>
      </w:r>
      <w:r>
        <w:rPr>
          <w:rFonts w:ascii="Times New Roman" w:hAnsi="Times New Roman" w:eastAsia="Times New Roman" w:cs="Times New Roman"/>
          <w:b/>
          <w:sz w:val="28"/>
          <w:szCs w:val="28"/>
          <w:lang w:eastAsia="ru-RU"/>
        </w:rPr>
        <w:t>-</w:t>
      </w:r>
      <w:r>
        <w:rPr>
          <w:rFonts w:ascii="Times New Roman" w:hAnsi="Times New Roman" w:eastAsia="Times New Roman" w:cs="Times New Roman"/>
          <w:b/>
          <w:sz w:val="28"/>
          <w:szCs w:val="28"/>
          <w:lang w:val="en-US" w:eastAsia="ru-RU"/>
        </w:rPr>
        <w:t>n</w:t>
      </w:r>
      <w:r>
        <w:rPr>
          <w:rFonts w:ascii="Times New Roman" w:hAnsi="Times New Roman" w:eastAsia="Times New Roman" w:cs="Times New Roman"/>
          <w:b/>
          <w:sz w:val="28"/>
          <w:szCs w:val="28"/>
          <w:lang w:eastAsia="ru-RU"/>
        </w:rPr>
        <w:t>-переход в кремнии</w:t>
      </w:r>
      <w:bookmarkEnd w:id="0"/>
      <w:r>
        <w:rPr>
          <w:rFonts w:ascii="Times New Roman" w:hAnsi="Times New Roman" w:eastAsia="Times New Roman" w:cs="Times New Roman"/>
          <w:b/>
          <w:sz w:val="28"/>
          <w:szCs w:val="28"/>
          <w:lang w:eastAsia="ru-RU"/>
        </w:rPr>
        <w:t>:</w:t>
      </w:r>
    </w:p>
    <w:p w14:paraId="5A936969">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Фотоэлемент преобразует энергию солнечного света в электроэнергию. Он изготавливается из пластины очищенного кремния, в верхнюю часть которой добавляют атомы фосфора, а в нижнюю - атомы бора.</w:t>
      </w:r>
    </w:p>
    <w:p w14:paraId="6A8A5A8F">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в пластине образуются 2 слоя: сверху N-слой (Negative) с избытком электронов, а снизу - P-слой (Positive) с дефицитом электронов. Между слоями образуется PN-переход - электрическое поле, не позволяющее электронам из N-слоя переходить в P-слой.</w:t>
      </w:r>
    </w:p>
    <w:p w14:paraId="54A33954">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Технический кремний с собственной проводимостью имеет концентрацию примесных атомов не выше 10</w:t>
      </w:r>
      <w:r>
        <w:rPr>
          <w:rFonts w:ascii="Times New Roman" w:hAnsi="Times New Roman" w:eastAsia="Times New Roman" w:cs="Times New Roman"/>
          <w:sz w:val="28"/>
          <w:szCs w:val="28"/>
          <w:vertAlign w:val="superscript"/>
          <w:lang w:eastAsia="ru-RU"/>
        </w:rPr>
        <w:t>18</w:t>
      </w:r>
      <w:r>
        <w:rPr>
          <w:rFonts w:ascii="Times New Roman" w:hAnsi="Times New Roman" w:eastAsia="Times New Roman" w:cs="Times New Roman"/>
          <w:sz w:val="28"/>
          <w:szCs w:val="28"/>
          <w:lang w:eastAsia="ru-RU"/>
        </w:rPr>
        <w:t xml:space="preserve"> м</w:t>
      </w:r>
      <w:r>
        <w:rPr>
          <w:rFonts w:ascii="Times New Roman" w:hAnsi="Times New Roman" w:eastAsia="Times New Roman" w:cs="Times New Roman"/>
          <w:sz w:val="28"/>
          <w:szCs w:val="28"/>
          <w:vertAlign w:val="superscript"/>
          <w:lang w:eastAsia="ru-RU"/>
        </w:rPr>
        <w:t>-3</w:t>
      </w:r>
      <w:r>
        <w:rPr>
          <w:rFonts w:ascii="Times New Roman" w:hAnsi="Times New Roman" w:eastAsia="Times New Roman" w:cs="Times New Roman"/>
          <w:sz w:val="28"/>
          <w:szCs w:val="28"/>
          <w:lang w:eastAsia="ru-RU"/>
        </w:rPr>
        <w:t xml:space="preserve"> и удельное сопротивление </w:t>
      </w:r>
      <w:r>
        <w:rPr>
          <w:rFonts w:ascii="Times New Roman" w:hAnsi="Times New Roman" w:eastAsia="Times New Roman" w:cs="Times New Roman"/>
          <w:sz w:val="28"/>
          <w:szCs w:val="28"/>
          <w:lang w:eastAsia="ru-RU"/>
        </w:rPr>
        <w:sym w:font="Symbol" w:char="F072"/>
      </w:r>
      <w:r>
        <w:rPr>
          <w:rFonts w:ascii="Times New Roman" w:hAnsi="Times New Roman" w:eastAsia="Times New Roman" w:cs="Times New Roman"/>
          <w:sz w:val="28"/>
          <w:szCs w:val="28"/>
          <w:vertAlign w:val="subscript"/>
          <w:lang w:eastAsia="ru-RU"/>
        </w:rPr>
        <w:t>е</w:t>
      </w:r>
      <w:r>
        <w:rPr>
          <w:rFonts w:ascii="Times New Roman" w:hAnsi="Times New Roman" w:eastAsia="Times New Roman" w:cs="Times New Roman"/>
          <w:sz w:val="28"/>
          <w:szCs w:val="28"/>
          <w:lang w:eastAsia="ru-RU"/>
        </w:rPr>
        <w:sym w:font="Symbol" w:char="F0BB"/>
      </w:r>
      <w:r>
        <w:rPr>
          <w:rFonts w:ascii="Times New Roman" w:hAnsi="Times New Roman" w:eastAsia="Times New Roman" w:cs="Times New Roman"/>
          <w:sz w:val="28"/>
          <w:szCs w:val="28"/>
          <w:lang w:eastAsia="ru-RU"/>
        </w:rPr>
        <w:t xml:space="preserve"> 2500 Ом</w:t>
      </w:r>
      <w:r>
        <w:rPr>
          <w:rFonts w:ascii="Times New Roman" w:hAnsi="Times New Roman" w:eastAsia="Times New Roman" w:cs="Times New Roman"/>
          <w:sz w:val="28"/>
          <w:szCs w:val="28"/>
          <w:lang w:eastAsia="ru-RU"/>
        </w:rPr>
        <w:sym w:font="Symbol" w:char="F0D7"/>
      </w:r>
      <w:r>
        <w:rPr>
          <w:rFonts w:ascii="Times New Roman" w:hAnsi="Times New Roman" w:eastAsia="Times New Roman" w:cs="Times New Roman"/>
          <w:sz w:val="28"/>
          <w:szCs w:val="28"/>
          <w:lang w:eastAsia="ru-RU"/>
        </w:rPr>
        <w:t xml:space="preserve">м. Обычно электрические свойства собственных полупроводников описываются зонной теорией (зонная теория (англ. energy band theory или band theory) - один из основных разделов квантовой теории твердого тела, описывающий движение электронов в кристаллах, и являющийся основой современной теории металлов, полупроводников и диэлектриков), согласно которой между валентной зоной и зоной проводимости существует энергетический зазор, называемый </w:t>
      </w:r>
      <w:r>
        <w:rPr>
          <w:rFonts w:ascii="Times New Roman" w:hAnsi="Times New Roman" w:eastAsia="Times New Roman" w:cs="Times New Roman"/>
          <w:b/>
          <w:sz w:val="28"/>
          <w:szCs w:val="28"/>
          <w:lang w:eastAsia="ru-RU"/>
        </w:rPr>
        <w:t>запрещенной зоной</w:t>
      </w:r>
      <w:r>
        <w:rPr>
          <w:rFonts w:ascii="Times New Roman" w:hAnsi="Times New Roman" w:eastAsia="Times New Roman" w:cs="Times New Roman"/>
          <w:sz w:val="28"/>
          <w:szCs w:val="28"/>
          <w:lang w:eastAsia="ru-RU"/>
        </w:rPr>
        <w:t xml:space="preserve">. </w:t>
      </w:r>
    </w:p>
    <w:p w14:paraId="4886E036">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Энергетические уровни акцепторных атомов располагаются в запрещенной зоне, вблизи валентной зоны. </w:t>
      </w:r>
    </w:p>
    <w:p w14:paraId="552F9D5D">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Отсутствие свободных электронов приводит к появлению положительно заряженных состояний, называемых </w:t>
      </w:r>
      <w:r>
        <w:rPr>
          <w:rFonts w:ascii="Times New Roman" w:hAnsi="Times New Roman" w:eastAsia="Times New Roman" w:cs="Times New Roman"/>
          <w:b/>
          <w:sz w:val="28"/>
          <w:szCs w:val="28"/>
          <w:lang w:eastAsia="ru-RU"/>
        </w:rPr>
        <w:t>дырками</w:t>
      </w:r>
      <w:r>
        <w:rPr>
          <w:rFonts w:ascii="Times New Roman" w:hAnsi="Times New Roman" w:eastAsia="Times New Roman" w:cs="Times New Roman"/>
          <w:sz w:val="28"/>
          <w:szCs w:val="28"/>
          <w:lang w:eastAsia="ru-RU"/>
        </w:rPr>
        <w:t xml:space="preserve">, которые перемещаются через вещество как свободные носители. Полупроводники с примесью акцепторных атомов имеют в качестве </w:t>
      </w:r>
      <w:r>
        <w:rPr>
          <w:rFonts w:ascii="Times New Roman" w:hAnsi="Times New Roman" w:eastAsia="Times New Roman" w:cs="Times New Roman"/>
          <w:i/>
          <w:sz w:val="28"/>
          <w:szCs w:val="28"/>
          <w:lang w:eastAsia="ru-RU"/>
        </w:rPr>
        <w:t>основных носителей</w:t>
      </w:r>
      <w:r>
        <w:rPr>
          <w:rFonts w:ascii="Times New Roman" w:hAnsi="Times New Roman" w:eastAsia="Times New Roman" w:cs="Times New Roman"/>
          <w:sz w:val="28"/>
          <w:szCs w:val="28"/>
          <w:lang w:eastAsia="ru-RU"/>
        </w:rPr>
        <w:t xml:space="preserve"> дырки и называются </w:t>
      </w:r>
      <w:r>
        <w:rPr>
          <w:rFonts w:ascii="Times New Roman" w:hAnsi="Times New Roman" w:eastAsia="Times New Roman" w:cs="Times New Roman"/>
          <w:i/>
          <w:sz w:val="28"/>
          <w:szCs w:val="28"/>
          <w:lang w:eastAsia="ru-RU"/>
        </w:rPr>
        <w:t>полупроводниками р-типа</w:t>
      </w:r>
      <w:r>
        <w:rPr>
          <w:rFonts w:ascii="Times New Roman" w:hAnsi="Times New Roman" w:eastAsia="Times New Roman" w:cs="Times New Roman"/>
          <w:sz w:val="28"/>
          <w:szCs w:val="28"/>
          <w:lang w:eastAsia="ru-RU"/>
        </w:rPr>
        <w:t xml:space="preserve">. И наоборот, атомы с большей валентностью (например, фосфор из </w:t>
      </w:r>
      <w:r>
        <w:rPr>
          <w:rFonts w:ascii="Times New Roman" w:hAnsi="Times New Roman" w:eastAsia="Times New Roman" w:cs="Times New Roman"/>
          <w:sz w:val="28"/>
          <w:szCs w:val="28"/>
          <w:lang w:val="en-US" w:eastAsia="ru-RU"/>
        </w:rPr>
        <w:t>V</w:t>
      </w:r>
      <w:r>
        <w:rPr>
          <w:rFonts w:ascii="Times New Roman" w:hAnsi="Times New Roman" w:eastAsia="Times New Roman" w:cs="Times New Roman"/>
          <w:sz w:val="28"/>
          <w:szCs w:val="28"/>
          <w:lang w:eastAsia="ru-RU"/>
        </w:rPr>
        <w:t xml:space="preserve"> группы) является донарами электронов. Полупроводники с примесью донорных атомов имеют основными носителями электроны проводимости и называются полупроводниками </w:t>
      </w:r>
      <w:r>
        <w:rPr>
          <w:rFonts w:ascii="Times New Roman" w:hAnsi="Times New Roman" w:eastAsia="Times New Roman" w:cs="Times New Roman"/>
          <w:sz w:val="28"/>
          <w:szCs w:val="28"/>
          <w:lang w:val="en-US" w:eastAsia="ru-RU"/>
        </w:rPr>
        <w:t>n</w:t>
      </w:r>
      <w:r>
        <w:rPr>
          <w:rFonts w:ascii="Times New Roman" w:hAnsi="Times New Roman" w:eastAsia="Times New Roman" w:cs="Times New Roman"/>
          <w:sz w:val="28"/>
          <w:szCs w:val="28"/>
          <w:lang w:eastAsia="ru-RU"/>
        </w:rPr>
        <w:t>-типа.</w:t>
      </w:r>
    </w:p>
    <w:p w14:paraId="4966A9E7">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657850" cy="26212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b="6509"/>
                    <a:stretch>
                      <a:fillRect/>
                    </a:stretch>
                  </pic:blipFill>
                  <pic:spPr>
                    <a:xfrm>
                      <a:off x="0" y="0"/>
                      <a:ext cx="5657850" cy="2621280"/>
                    </a:xfrm>
                    <a:prstGeom prst="rect">
                      <a:avLst/>
                    </a:prstGeom>
                    <a:noFill/>
                    <a:ln>
                      <a:noFill/>
                    </a:ln>
                  </pic:spPr>
                </pic:pic>
              </a:graphicData>
            </a:graphic>
          </wp:inline>
        </w:drawing>
      </w:r>
    </w:p>
    <w:p w14:paraId="09EAF7BD">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4.14. Стандартный солнечный элемент</w:t>
      </w:r>
    </w:p>
    <w:p w14:paraId="6EDEE827">
      <w:pPr>
        <w:spacing w:after="0" w:line="360" w:lineRule="auto"/>
        <w:ind w:firstLine="709"/>
        <w:jc w:val="both"/>
        <w:rPr>
          <w:rFonts w:ascii="Times New Roman" w:hAnsi="Times New Roman" w:eastAsia="Times New Roman" w:cs="Times New Roman"/>
          <w:sz w:val="28"/>
          <w:szCs w:val="28"/>
          <w:lang w:eastAsia="ru-RU"/>
        </w:rPr>
      </w:pPr>
    </w:p>
    <w:p w14:paraId="4281EFF2">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Свободные электроны и дырки могут рекомбинировать, что приводит к исчезновению носителей.</w:t>
      </w:r>
    </w:p>
    <w:p w14:paraId="68ACB0BC">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Электропроводность примесных полупроводников обычно более высокая. По значению удельного сопротивления </w:t>
      </w:r>
      <w:r>
        <w:rPr>
          <w:rFonts w:ascii="Times New Roman" w:hAnsi="Times New Roman" w:eastAsia="Times New Roman" w:cs="Times New Roman"/>
          <w:sz w:val="28"/>
          <w:szCs w:val="28"/>
          <w:lang w:eastAsia="ru-RU"/>
        </w:rPr>
        <w:sym w:font="Symbol" w:char="F072"/>
      </w:r>
      <w:r>
        <w:rPr>
          <w:rFonts w:ascii="Times New Roman" w:hAnsi="Times New Roman" w:eastAsia="Times New Roman" w:cs="Times New Roman"/>
          <w:sz w:val="28"/>
          <w:szCs w:val="28"/>
          <w:vertAlign w:val="subscript"/>
          <w:lang w:eastAsia="ru-RU"/>
        </w:rPr>
        <w:t xml:space="preserve">е </w:t>
      </w:r>
      <w:r>
        <w:rPr>
          <w:rFonts w:ascii="Times New Roman" w:hAnsi="Times New Roman" w:eastAsia="Times New Roman" w:cs="Times New Roman"/>
          <w:sz w:val="28"/>
          <w:szCs w:val="28"/>
          <w:lang w:eastAsia="ru-RU"/>
        </w:rPr>
        <w:t xml:space="preserve">можно дать характеристику материалу: средние значения удельного сопротивления для кремниевых фотоэлементов </w:t>
      </w:r>
      <w:r>
        <w:rPr>
          <w:rFonts w:ascii="Times New Roman" w:hAnsi="Times New Roman" w:eastAsia="Times New Roman" w:cs="Times New Roman"/>
          <w:sz w:val="28"/>
          <w:szCs w:val="28"/>
          <w:lang w:eastAsia="ru-RU"/>
        </w:rPr>
        <w:sym w:font="Symbol" w:char="F072"/>
      </w:r>
      <w:r>
        <w:rPr>
          <w:rFonts w:ascii="Times New Roman" w:hAnsi="Times New Roman" w:eastAsia="Times New Roman" w:cs="Times New Roman"/>
          <w:sz w:val="28"/>
          <w:szCs w:val="28"/>
          <w:vertAlign w:val="subscript"/>
          <w:lang w:eastAsia="ru-RU"/>
        </w:rPr>
        <w:t xml:space="preserve">е </w:t>
      </w:r>
      <w:r>
        <w:rPr>
          <w:rFonts w:ascii="Times New Roman" w:hAnsi="Times New Roman" w:eastAsia="Times New Roman" w:cs="Times New Roman"/>
          <w:sz w:val="28"/>
          <w:szCs w:val="28"/>
          <w:lang w:eastAsia="ru-RU"/>
        </w:rPr>
        <w:sym w:font="Symbol" w:char="F0BB"/>
      </w:r>
      <w:r>
        <w:rPr>
          <w:rFonts w:ascii="Times New Roman" w:hAnsi="Times New Roman" w:eastAsia="Times New Roman" w:cs="Times New Roman"/>
          <w:sz w:val="28"/>
          <w:szCs w:val="28"/>
          <w:lang w:eastAsia="ru-RU"/>
        </w:rPr>
        <w:t xml:space="preserve"> 0,01 Ом</w:t>
      </w:r>
      <w:r>
        <w:rPr>
          <w:rFonts w:ascii="Times New Roman" w:hAnsi="Times New Roman" w:eastAsia="Times New Roman" w:cs="Times New Roman"/>
          <w:sz w:val="28"/>
          <w:szCs w:val="28"/>
          <w:lang w:eastAsia="ru-RU"/>
        </w:rPr>
        <w:sym w:font="Symbol" w:char="F0D7"/>
      </w:r>
      <w:r>
        <w:rPr>
          <w:rFonts w:ascii="Times New Roman" w:hAnsi="Times New Roman" w:eastAsia="Times New Roman" w:cs="Times New Roman"/>
          <w:sz w:val="28"/>
          <w:szCs w:val="28"/>
          <w:lang w:eastAsia="ru-RU"/>
        </w:rPr>
        <w:t>м (N</w:t>
      </w:r>
      <w:r>
        <w:rPr>
          <w:rFonts w:ascii="Times New Roman" w:hAnsi="Times New Roman" w:eastAsia="Times New Roman" w:cs="Times New Roman"/>
          <w:sz w:val="28"/>
          <w:szCs w:val="28"/>
          <w:vertAlign w:val="subscript"/>
          <w:lang w:eastAsia="ru-RU"/>
        </w:rPr>
        <w:t>d</w:t>
      </w:r>
      <w:r>
        <w:rPr>
          <w:rFonts w:ascii="Times New Roman" w:hAnsi="Times New Roman" w:eastAsia="Times New Roman" w:cs="Times New Roman"/>
          <w:sz w:val="28"/>
          <w:szCs w:val="28"/>
          <w:lang w:eastAsia="ru-RU"/>
        </w:rPr>
        <w:sym w:font="Symbol" w:char="F0BB"/>
      </w:r>
      <w:r>
        <w:rPr>
          <w:rFonts w:ascii="Times New Roman" w:hAnsi="Times New Roman" w:eastAsia="Times New Roman" w:cs="Times New Roman"/>
          <w:sz w:val="28"/>
          <w:szCs w:val="28"/>
          <w:lang w:eastAsia="ru-RU"/>
        </w:rPr>
        <w:t xml:space="preserve"> 10</w:t>
      </w:r>
      <w:r>
        <w:rPr>
          <w:rFonts w:ascii="Times New Roman" w:hAnsi="Times New Roman" w:eastAsia="Times New Roman" w:cs="Times New Roman"/>
          <w:sz w:val="28"/>
          <w:szCs w:val="28"/>
          <w:vertAlign w:val="superscript"/>
          <w:lang w:eastAsia="ru-RU"/>
        </w:rPr>
        <w:t>22</w:t>
      </w:r>
      <w:r>
        <w:rPr>
          <w:rFonts w:ascii="Times New Roman" w:hAnsi="Times New Roman" w:eastAsia="Times New Roman" w:cs="Times New Roman"/>
          <w:sz w:val="28"/>
          <w:szCs w:val="28"/>
          <w:lang w:eastAsia="ru-RU"/>
        </w:rPr>
        <w:t>м</w:t>
      </w:r>
      <w:r>
        <w:rPr>
          <w:rFonts w:ascii="Times New Roman" w:hAnsi="Times New Roman" w:eastAsia="Times New Roman" w:cs="Times New Roman"/>
          <w:sz w:val="28"/>
          <w:szCs w:val="28"/>
          <w:vertAlign w:val="superscript"/>
          <w:lang w:eastAsia="ru-RU"/>
        </w:rPr>
        <w:t>-3</w:t>
      </w:r>
      <w:r>
        <w:rPr>
          <w:rFonts w:ascii="Times New Roman" w:hAnsi="Times New Roman" w:eastAsia="Times New Roman" w:cs="Times New Roman"/>
          <w:sz w:val="28"/>
          <w:szCs w:val="28"/>
          <w:lang w:eastAsia="ru-RU"/>
        </w:rPr>
        <w:t xml:space="preserve">) и </w:t>
      </w:r>
      <w:r>
        <w:rPr>
          <w:rFonts w:ascii="Times New Roman" w:hAnsi="Times New Roman" w:eastAsia="Times New Roman" w:cs="Times New Roman"/>
          <w:sz w:val="28"/>
          <w:szCs w:val="28"/>
          <w:lang w:eastAsia="ru-RU"/>
        </w:rPr>
        <w:sym w:font="Symbol" w:char="F072"/>
      </w:r>
      <w:r>
        <w:rPr>
          <w:rFonts w:ascii="Times New Roman" w:hAnsi="Times New Roman" w:eastAsia="Times New Roman" w:cs="Times New Roman"/>
          <w:sz w:val="28"/>
          <w:szCs w:val="28"/>
          <w:vertAlign w:val="subscript"/>
          <w:lang w:eastAsia="ru-RU"/>
        </w:rPr>
        <w:t xml:space="preserve">е </w:t>
      </w:r>
      <w:r>
        <w:rPr>
          <w:rFonts w:ascii="Times New Roman" w:hAnsi="Times New Roman" w:eastAsia="Times New Roman" w:cs="Times New Roman"/>
          <w:sz w:val="28"/>
          <w:szCs w:val="28"/>
          <w:lang w:eastAsia="ru-RU"/>
        </w:rPr>
        <w:sym w:font="Symbol" w:char="F0BB"/>
      </w:r>
      <w:r>
        <w:rPr>
          <w:rFonts w:ascii="Times New Roman" w:hAnsi="Times New Roman" w:eastAsia="Times New Roman" w:cs="Times New Roman"/>
          <w:sz w:val="28"/>
          <w:szCs w:val="28"/>
          <w:lang w:eastAsia="ru-RU"/>
        </w:rPr>
        <w:t xml:space="preserve"> 0,1 Ом</w:t>
      </w:r>
      <w:r>
        <w:rPr>
          <w:rFonts w:ascii="Times New Roman" w:hAnsi="Times New Roman" w:eastAsia="Times New Roman" w:cs="Times New Roman"/>
          <w:sz w:val="28"/>
          <w:szCs w:val="28"/>
          <w:lang w:eastAsia="ru-RU"/>
        </w:rPr>
        <w:sym w:font="Symbol" w:char="F0D7"/>
      </w:r>
      <w:r>
        <w:rPr>
          <w:rFonts w:ascii="Times New Roman" w:hAnsi="Times New Roman" w:eastAsia="Times New Roman" w:cs="Times New Roman"/>
          <w:sz w:val="28"/>
          <w:szCs w:val="28"/>
          <w:lang w:eastAsia="ru-RU"/>
        </w:rPr>
        <w:t>м (N</w:t>
      </w:r>
      <w:r>
        <w:rPr>
          <w:rFonts w:ascii="Times New Roman" w:hAnsi="Times New Roman" w:eastAsia="Times New Roman" w:cs="Times New Roman"/>
          <w:sz w:val="28"/>
          <w:szCs w:val="28"/>
          <w:vertAlign w:val="subscript"/>
          <w:lang w:eastAsia="ru-RU"/>
        </w:rPr>
        <w:t>d</w:t>
      </w:r>
      <w:r>
        <w:rPr>
          <w:rFonts w:ascii="Times New Roman" w:hAnsi="Times New Roman" w:eastAsia="Times New Roman" w:cs="Times New Roman"/>
          <w:sz w:val="28"/>
          <w:szCs w:val="28"/>
          <w:lang w:eastAsia="ru-RU"/>
        </w:rPr>
        <w:sym w:font="Symbol" w:char="F0BB"/>
      </w:r>
      <w:r>
        <w:rPr>
          <w:rFonts w:ascii="Times New Roman" w:hAnsi="Times New Roman" w:eastAsia="Times New Roman" w:cs="Times New Roman"/>
          <w:sz w:val="28"/>
          <w:szCs w:val="28"/>
          <w:lang w:eastAsia="ru-RU"/>
        </w:rPr>
        <w:t xml:space="preserve"> 10</w:t>
      </w:r>
      <w:r>
        <w:rPr>
          <w:rFonts w:ascii="Times New Roman" w:hAnsi="Times New Roman" w:eastAsia="Times New Roman" w:cs="Times New Roman"/>
          <w:sz w:val="28"/>
          <w:szCs w:val="28"/>
          <w:vertAlign w:val="superscript"/>
          <w:lang w:eastAsia="ru-RU"/>
        </w:rPr>
        <w:t>21</w:t>
      </w:r>
      <w:r>
        <w:rPr>
          <w:rFonts w:ascii="Times New Roman" w:hAnsi="Times New Roman" w:eastAsia="Times New Roman" w:cs="Times New Roman"/>
          <w:sz w:val="28"/>
          <w:szCs w:val="28"/>
          <w:lang w:eastAsia="ru-RU"/>
        </w:rPr>
        <w:t>м</w:t>
      </w:r>
      <w:r>
        <w:rPr>
          <w:rFonts w:ascii="Times New Roman" w:hAnsi="Times New Roman" w:eastAsia="Times New Roman" w:cs="Times New Roman"/>
          <w:sz w:val="28"/>
          <w:szCs w:val="28"/>
          <w:vertAlign w:val="superscript"/>
          <w:lang w:eastAsia="ru-RU"/>
        </w:rPr>
        <w:t>-3</w:t>
      </w:r>
      <w:r>
        <w:rPr>
          <w:rFonts w:ascii="Times New Roman" w:hAnsi="Times New Roman" w:eastAsia="Times New Roman" w:cs="Times New Roman"/>
          <w:sz w:val="28"/>
          <w:szCs w:val="28"/>
          <w:lang w:eastAsia="ru-RU"/>
        </w:rPr>
        <w:t xml:space="preserve"> ). Здесь N</w:t>
      </w:r>
      <w:r>
        <w:rPr>
          <w:rFonts w:ascii="Times New Roman" w:hAnsi="Times New Roman" w:eastAsia="Times New Roman" w:cs="Times New Roman"/>
          <w:sz w:val="28"/>
          <w:szCs w:val="28"/>
          <w:vertAlign w:val="subscript"/>
          <w:lang w:eastAsia="ru-RU"/>
        </w:rPr>
        <w:t xml:space="preserve">d </w:t>
      </w:r>
      <w:r>
        <w:rPr>
          <w:rFonts w:ascii="Times New Roman" w:hAnsi="Times New Roman" w:eastAsia="Times New Roman" w:cs="Times New Roman"/>
          <w:sz w:val="28"/>
          <w:szCs w:val="28"/>
          <w:lang w:eastAsia="ru-RU"/>
        </w:rPr>
        <w:t>- концентрация примесных ионов).</w:t>
      </w:r>
    </w:p>
    <w:p w14:paraId="32E607EB">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Проводимость полупроводников n-типа выше, чем материалов с собственной проводимостью, так как энергия ионизации доноров меньше ширины запрещенной зоны, и при термическом возбуждении электроны легче переходят в зону проводимости. Аналогично в материалах р-типа дырки легче попадают в валентную зону. </w:t>
      </w:r>
    </w:p>
    <w:p w14:paraId="14F03020">
      <w:pPr>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Общий эффект заключается в том, что электроны и дырки перемещаются от границы перехода, оставляя эту область сильно обедненной носителями.</w:t>
      </w:r>
    </w:p>
    <w:p w14:paraId="09141DD1">
      <w:pPr>
        <w:tabs>
          <w:tab w:val="left" w:pos="369"/>
        </w:tabs>
        <w:spacing w:after="0" w:line="360" w:lineRule="auto"/>
        <w:ind w:left="-57"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Применение фотоэлементов ФЭ для получения полезной энергии связано не только с элементами и модулями; система ФЭ, к примеру, будет много раз включать инвертор для преобразования постоянного тока из элементов в переменный ток для обеспечения совместимости с общими сетями и приборами. Для автономных применений данная система должна включать такие устройства для хранения энергии, как аккумулятор. </w:t>
      </w:r>
    </w:p>
    <w:p w14:paraId="2A079608">
      <w:pPr>
        <w:tabs>
          <w:tab w:val="left" w:pos="369"/>
        </w:tabs>
        <w:spacing w:after="0" w:line="360" w:lineRule="auto"/>
        <w:ind w:left="-57"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Ведется работа по обеспечению большей надежности этих устройств, снижению их стоимости и продлению их срока жизни, с тем чтобы они были сопоставимы с соответствующими характеристиками модулей.</w:t>
      </w:r>
    </w:p>
    <w:p w14:paraId="5E546247">
      <w:pPr>
        <w:tabs>
          <w:tab w:val="left" w:pos="369"/>
        </w:tabs>
        <w:spacing w:after="0" w:line="360" w:lineRule="auto"/>
        <w:ind w:left="-57"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Энергосистемы на ФЭ классифицируются по двум основным типам: </w:t>
      </w:r>
      <w:r>
        <w:rPr>
          <w:rFonts w:ascii="Times New Roman" w:hAnsi="Times New Roman" w:eastAsia="Times New Roman" w:cs="Times New Roman"/>
          <w:b/>
          <w:sz w:val="28"/>
          <w:szCs w:val="28"/>
          <w:lang w:eastAsia="ru-RU"/>
        </w:rPr>
        <w:t>автономные и соединенные с электросетью</w:t>
      </w:r>
      <w:r>
        <w:rPr>
          <w:rFonts w:ascii="Times New Roman" w:hAnsi="Times New Roman" w:eastAsia="Times New Roman" w:cs="Times New Roman"/>
          <w:sz w:val="28"/>
          <w:szCs w:val="28"/>
          <w:lang w:eastAsia="ru-RU"/>
        </w:rPr>
        <w:t xml:space="preserve">. </w:t>
      </w:r>
    </w:p>
    <w:p w14:paraId="003E6EEB">
      <w:pPr>
        <w:tabs>
          <w:tab w:val="left" w:pos="369"/>
        </w:tabs>
        <w:spacing w:after="0" w:line="360" w:lineRule="auto"/>
        <w:ind w:left="-57"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Соединенные с электросетью системы сами классифицируются по двум типам: </w:t>
      </w:r>
      <w:r>
        <w:rPr>
          <w:rFonts w:ascii="Times New Roman" w:hAnsi="Times New Roman" w:eastAsia="Times New Roman" w:cs="Times New Roman"/>
          <w:b/>
          <w:sz w:val="28"/>
          <w:szCs w:val="28"/>
          <w:lang w:eastAsia="ru-RU"/>
        </w:rPr>
        <w:t>распределенные и централизованные</w:t>
      </w:r>
      <w:r>
        <w:rPr>
          <w:rFonts w:ascii="Times New Roman" w:hAnsi="Times New Roman" w:eastAsia="Times New Roman" w:cs="Times New Roman"/>
          <w:sz w:val="28"/>
          <w:szCs w:val="28"/>
          <w:lang w:eastAsia="ru-RU"/>
        </w:rPr>
        <w:t>. Распределенная система состоит из многочисленных небольших местных энергоустановок, некоторые из которых снабжают электроэнергией, главным образом, локальных потребителей, при этом остающаяся электроэнергия подается в сеть. С другой стороны, централизованная система действует в качестве одной крупной энергоустановки. Автономные системы, как правило, предназначаются для одного потребителя или небольшой группы потребителей, и им обычно необходим элемент для хранения электроэнергии или резервная батарея. Эти системы обладают значительным потенциалом в неэлектрофицированных районах.</w:t>
      </w:r>
    </w:p>
    <w:p w14:paraId="53C97009">
      <w:pPr>
        <w:tabs>
          <w:tab w:val="left" w:pos="369"/>
        </w:tabs>
        <w:spacing w:after="0" w:line="360" w:lineRule="auto"/>
        <w:ind w:firstLine="709"/>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4.4. Типы и схемы солнечных электростанций</w:t>
      </w:r>
    </w:p>
    <w:p w14:paraId="57A2D67B">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1.Сетевые солнечные электростанции</w:t>
      </w:r>
    </w:p>
    <w:p w14:paraId="04A7CA14">
      <w:pPr>
        <w:tabs>
          <w:tab w:val="left" w:pos="369"/>
        </w:tabs>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417820" cy="1310640"/>
            <wp:effectExtent l="0" t="0" r="0" b="3810"/>
            <wp:docPr id="24" name="Рисунок 24" descr="https://clever-energy.ru/wp-content/uploads/2019/04/ZAG_1___6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https://clever-energy.ru/wp-content/uploads/2019/04/ZAG_1___6__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17820" cy="1310640"/>
                    </a:xfrm>
                    <a:prstGeom prst="rect">
                      <a:avLst/>
                    </a:prstGeom>
                    <a:noFill/>
                    <a:ln>
                      <a:noFill/>
                    </a:ln>
                  </pic:spPr>
                </pic:pic>
              </a:graphicData>
            </a:graphic>
          </wp:inline>
        </w:drawing>
      </w:r>
    </w:p>
    <w:p w14:paraId="2808BD21">
      <w:pPr>
        <w:tabs>
          <w:tab w:val="left" w:pos="369"/>
        </w:tabs>
        <w:spacing w:after="0" w:line="360" w:lineRule="auto"/>
        <w:jc w:val="center"/>
        <w:rPr>
          <w:rStyle w:val="4"/>
          <w:rFonts w:ascii="Times New Roman" w:hAnsi="Times New Roman" w:cs="Times New Roman"/>
          <w:b/>
          <w:color w:val="auto"/>
          <w:sz w:val="28"/>
          <w:szCs w:val="28"/>
          <w:u w:val="none"/>
          <w:lang w:eastAsia="ru-RU"/>
        </w:rPr>
      </w:pPr>
      <w:r>
        <w:rPr>
          <w:rStyle w:val="4"/>
          <w:rFonts w:ascii="Times New Roman" w:hAnsi="Times New Roman" w:cs="Times New Roman"/>
          <w:b/>
          <w:color w:val="auto"/>
          <w:sz w:val="28"/>
          <w:szCs w:val="28"/>
          <w:u w:val="none"/>
          <w:lang w:eastAsia="ru-RU"/>
        </w:rPr>
        <w:t>Рисунок 4.15. Сетевая солнечная станция</w:t>
      </w:r>
    </w:p>
    <w:p w14:paraId="180AF16B">
      <w:pPr>
        <w:tabs>
          <w:tab w:val="left" w:pos="369"/>
        </w:tabs>
        <w:spacing w:after="0" w:line="360" w:lineRule="auto"/>
        <w:ind w:firstLine="709"/>
        <w:jc w:val="both"/>
        <w:rPr>
          <w:rStyle w:val="4"/>
          <w:rFonts w:ascii="Times New Roman" w:hAnsi="Times New Roman" w:cs="Times New Roman"/>
          <w:color w:val="auto"/>
          <w:sz w:val="28"/>
          <w:szCs w:val="28"/>
          <w:u w:val="none"/>
          <w:lang w:eastAsia="ru-RU"/>
        </w:rPr>
      </w:pPr>
    </w:p>
    <w:p w14:paraId="3543AB1D">
      <w:pPr>
        <w:tabs>
          <w:tab w:val="left" w:pos="369"/>
        </w:tabs>
        <w:spacing w:after="0" w:line="360" w:lineRule="auto"/>
        <w:ind w:firstLine="709"/>
        <w:jc w:val="both"/>
        <w:rPr>
          <w:rFonts w:ascii="Times New Roman" w:hAnsi="Times New Roman" w:eastAsia="Times New Roman" w:cs="Times New Roman"/>
          <w:sz w:val="28"/>
          <w:szCs w:val="28"/>
          <w:lang w:eastAsia="ru-RU"/>
        </w:rPr>
      </w:pPr>
      <w:r>
        <w:fldChar w:fldCharType="begin"/>
      </w:r>
      <w:r>
        <w:instrText xml:space="preserve"> HYPERLINK "https://clever-energy.ru/%D1%81%D0%B5%D1%82%D0%B5%D0%B2%D1%8B%D0%B5-%D1%81%D0%BE%D0%BB%D0%BD%D0%B5%D1%87%D0%BD%D1%8B%D0%B5-%D1%8D%D0%BB%D0%B5%D0%BA%D1%82%D1%80%D0%BE%D1%81%D1%82%D0%B0%D0%BD%D1%86%D0%B8%D0%B8/" </w:instrText>
      </w:r>
      <w:r>
        <w:fldChar w:fldCharType="separate"/>
      </w:r>
      <w:r>
        <w:rPr>
          <w:rStyle w:val="4"/>
          <w:rFonts w:ascii="Times New Roman" w:hAnsi="Times New Roman" w:cs="Times New Roman"/>
          <w:color w:val="auto"/>
          <w:sz w:val="28"/>
          <w:szCs w:val="28"/>
          <w:u w:val="none"/>
          <w:lang w:eastAsia="ru-RU"/>
        </w:rPr>
        <w:t>Сетевая</w:t>
      </w:r>
      <w:r>
        <w:rPr>
          <w:rStyle w:val="4"/>
          <w:rFonts w:ascii="Times New Roman" w:hAnsi="Times New Roman" w:cs="Times New Roman"/>
          <w:color w:val="auto"/>
          <w:sz w:val="28"/>
          <w:szCs w:val="28"/>
          <w:u w:val="none"/>
          <w:lang w:eastAsia="ru-RU"/>
        </w:rPr>
        <w:fldChar w:fldCharType="end"/>
      </w:r>
      <w:r>
        <w:rPr>
          <w:rFonts w:ascii="Times New Roman" w:hAnsi="Times New Roman" w:cs="Times New Roman"/>
          <w:sz w:val="28"/>
          <w:szCs w:val="28"/>
          <w:lang w:eastAsia="ru-RU"/>
        </w:rPr>
        <w:t xml:space="preserve"> солнечная электростанция </w:t>
      </w:r>
      <w:r>
        <w:rPr>
          <w:rFonts w:ascii="Times New Roman" w:hAnsi="Times New Roman" w:eastAsia="Times New Roman" w:cs="Times New Roman"/>
          <w:sz w:val="28"/>
          <w:szCs w:val="28"/>
          <w:lang w:eastAsia="ru-RU"/>
        </w:rPr>
        <w:t>работает без аккумуляторов и используется для уменьшения оплаты за сетевую электроэнергию. Принцип работы прост: выработанную от солнца электроэнергию она направляет во внутреннюю сеть, из промышленной сети берется только недостающая мощность. Например, если выработка от солнца 10кВт, а потребление 15 кВт, то из сети берется всего 5 кВт. В темное время суток система переходит в режим ожидания, и вновь включается с восходом солнца. Данный тип солнечных электростанций не требует обслуживания, а срок службы составляет более 35 лет. Идеально подходит для офисов и предприятий с дневным пиком потребления. В любое время к сетевой солнечной электростанции можно добавить гибридный инвертор с аккумуляторными батареями, что сделает ее гибридно-сетевой солнечной электростанции.</w:t>
      </w:r>
    </w:p>
    <w:p w14:paraId="177FD8FF">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2. Автономные солнечные электростанции</w:t>
      </w:r>
    </w:p>
    <w:p w14:paraId="2FE96FB3">
      <w:pPr>
        <w:tabs>
          <w:tab w:val="left" w:pos="369"/>
        </w:tabs>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577840" cy="1143000"/>
            <wp:effectExtent l="0" t="0" r="3810" b="0"/>
            <wp:docPr id="25" name="Рисунок 25" descr="https://clever-energy.ru/wp-content/uploads/2019/04/ZAG_1__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https://clever-energy.ru/wp-content/uploads/2019/04/ZAG_1___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77840" cy="1143000"/>
                    </a:xfrm>
                    <a:prstGeom prst="rect">
                      <a:avLst/>
                    </a:prstGeom>
                    <a:noFill/>
                    <a:ln>
                      <a:noFill/>
                    </a:ln>
                  </pic:spPr>
                </pic:pic>
              </a:graphicData>
            </a:graphic>
          </wp:inline>
        </w:drawing>
      </w:r>
    </w:p>
    <w:p w14:paraId="3D94180E">
      <w:pPr>
        <w:tabs>
          <w:tab w:val="left" w:pos="369"/>
        </w:tabs>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4.16. Автономная солнечная электростанция</w:t>
      </w:r>
    </w:p>
    <w:p w14:paraId="38B9BABA">
      <w:pPr>
        <w:tabs>
          <w:tab w:val="left" w:pos="369"/>
        </w:tabs>
        <w:spacing w:after="0" w:line="360" w:lineRule="auto"/>
        <w:ind w:firstLine="709"/>
        <w:jc w:val="both"/>
        <w:rPr>
          <w:rFonts w:ascii="Times New Roman" w:hAnsi="Times New Roman" w:eastAsia="Times New Roman" w:cs="Times New Roman"/>
          <w:sz w:val="28"/>
          <w:szCs w:val="28"/>
          <w:lang w:eastAsia="ru-RU"/>
        </w:rPr>
      </w:pPr>
    </w:p>
    <w:p w14:paraId="4290BD14">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Автономная солнечная электростанция строится для электроснабжения там, где нет промышленной сети. Выработанную солнечную энергию она направляет на питание потребителей, а избытки запасает в аккумуляторных батареях. В темное время суток все электроснабжение осуществляется от аккумуляторов. </w:t>
      </w:r>
    </w:p>
    <w:p w14:paraId="594934FC">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3. Гибридные солнечные электростанции</w:t>
      </w:r>
    </w:p>
    <w:p w14:paraId="60A85343">
      <w:pPr>
        <w:tabs>
          <w:tab w:val="left" w:pos="369"/>
        </w:tabs>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372100" cy="1059180"/>
            <wp:effectExtent l="0" t="0" r="0" b="7620"/>
            <wp:docPr id="29" name="Рисунок 29" descr="https://clever-energy.ru/wp-content/uploads/2019/04/ZAG_1___2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https://clever-energy.ru/wp-content/uploads/2019/04/ZAG_1___2__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72100" cy="1059180"/>
                    </a:xfrm>
                    <a:prstGeom prst="rect">
                      <a:avLst/>
                    </a:prstGeom>
                    <a:noFill/>
                    <a:ln>
                      <a:noFill/>
                    </a:ln>
                  </pic:spPr>
                </pic:pic>
              </a:graphicData>
            </a:graphic>
          </wp:inline>
        </w:drawing>
      </w:r>
    </w:p>
    <w:p w14:paraId="6B480248">
      <w:pPr>
        <w:tabs>
          <w:tab w:val="left" w:pos="369"/>
        </w:tabs>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4.17. Гибридная солнечная электростанция</w:t>
      </w:r>
    </w:p>
    <w:p w14:paraId="223C4A6D">
      <w:pPr>
        <w:tabs>
          <w:tab w:val="left" w:pos="369"/>
        </w:tabs>
        <w:spacing w:after="0" w:line="360" w:lineRule="auto"/>
        <w:ind w:firstLine="709"/>
        <w:jc w:val="both"/>
        <w:rPr>
          <w:rFonts w:ascii="Times New Roman" w:hAnsi="Times New Roman" w:eastAsia="Times New Roman" w:cs="Times New Roman"/>
          <w:sz w:val="28"/>
          <w:szCs w:val="28"/>
          <w:lang w:eastAsia="ru-RU"/>
        </w:rPr>
      </w:pPr>
    </w:p>
    <w:p w14:paraId="677F6A04">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Гибридная солнечная электростанция - это комбинированный тип сетевой и автономной солнечных электростанций. Днем солнечная энергия направляется во внутреннюю сеть, уменьшая потребление. Ночью система переходит на питание от промышленной сети или аккумуляторов. При отключении промышленной сети система работает как автономная солнечная электростанция - энергоснабжение объекта не прерывается и осуществляется от солнечной и запасенной в аккумуляторах энергии. Если в гибридной электростанции в качестве солнечного контроллера используется сетевой инвертор (что увеличивает эффективность), она называется гибридно-сетевая солнечная электростанция.</w:t>
      </w:r>
    </w:p>
    <w:p w14:paraId="12569586">
      <w:pPr>
        <w:tabs>
          <w:tab w:val="left" w:pos="369"/>
        </w:tabs>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5458460" cy="2849880"/>
            <wp:effectExtent l="0" t="0" r="8890" b="7620"/>
            <wp:docPr id="33" name="Рисунок 33" descr="Разновидности фотоэлектрических энерго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Разновидности фотоэлектрических энергосисте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84026" cy="2863228"/>
                    </a:xfrm>
                    <a:prstGeom prst="rect">
                      <a:avLst/>
                    </a:prstGeom>
                    <a:noFill/>
                    <a:ln>
                      <a:noFill/>
                    </a:ln>
                  </pic:spPr>
                </pic:pic>
              </a:graphicData>
            </a:graphic>
          </wp:inline>
        </w:drawing>
      </w:r>
    </w:p>
    <w:p w14:paraId="556A3407">
      <w:pPr>
        <w:tabs>
          <w:tab w:val="left" w:pos="369"/>
        </w:tabs>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Рисунок 4.18. Структурные схемы солнечных электростанций</w:t>
      </w:r>
    </w:p>
    <w:p w14:paraId="3837476C">
      <w:pPr>
        <w:tabs>
          <w:tab w:val="left" w:pos="369"/>
        </w:tabs>
        <w:spacing w:after="0" w:line="360" w:lineRule="auto"/>
        <w:jc w:val="center"/>
        <w:rPr>
          <w:rFonts w:ascii="Times New Roman" w:hAnsi="Times New Roman" w:eastAsia="Times New Roman" w:cs="Times New Roman"/>
          <w:b/>
          <w:bCs/>
          <w:sz w:val="28"/>
          <w:szCs w:val="28"/>
          <w:lang w:eastAsia="ru-RU"/>
        </w:rPr>
      </w:pPr>
    </w:p>
    <w:p w14:paraId="03228002">
      <w:pPr>
        <w:tabs>
          <w:tab w:val="left" w:pos="369"/>
        </w:tabs>
        <w:spacing w:after="0" w:line="360" w:lineRule="auto"/>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4.5. Эффективность солнечных систем</w:t>
      </w:r>
    </w:p>
    <w:p w14:paraId="615F3C24">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Солнечная энергия представляет собой один из наиболее перспективных источников возобновляемой энергии, способный значительно снизить углеродный след и уменьшить зависимость от ископаемых видов топлива. С развитием технологий и уменьшением затрат на производство солнечных панелей, эффективность и экономическая выгода от использования солнечных систем становятся все более очевидными. Проанализируем эффективность различных типов солнечных панелей, факторам, влияющим на их производительность, преимуществам солнечных систем, а также глобальным тенденциям и статистическим показателям в этой области.</w:t>
      </w:r>
    </w:p>
    <w:p w14:paraId="0C01BE42">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Эффективность солнечных систем зависит от множества факторов, каждый из которых может существенно влиять на производительность и надежность систем.</w:t>
      </w:r>
    </w:p>
    <w:p w14:paraId="687FCF14">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 xml:space="preserve">Качество панелей </w:t>
      </w:r>
      <w:r>
        <w:rPr>
          <w:rFonts w:ascii="Times New Roman" w:hAnsi="Times New Roman" w:eastAsia="Times New Roman" w:cs="Times New Roman"/>
          <w:sz w:val="28"/>
          <w:szCs w:val="28"/>
          <w:lang w:eastAsia="ru-RU"/>
        </w:rPr>
        <w:t>обеспечивают максимальную возможную эффективность, долговечность и надежность системы;</w:t>
      </w:r>
    </w:p>
    <w:p w14:paraId="52A29F05">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sz w:val="28"/>
          <w:szCs w:val="28"/>
          <w:lang w:eastAsia="ru-RU"/>
        </w:rPr>
        <w:t>Правильный</w:t>
      </w:r>
      <w:r>
        <w:rPr>
          <w:rFonts w:ascii="Times New Roman" w:hAnsi="Times New Roman" w:eastAsia="Times New Roman" w:cs="Times New Roman"/>
          <w:b/>
          <w:bCs/>
          <w:sz w:val="28"/>
          <w:szCs w:val="28"/>
          <w:lang w:eastAsia="ru-RU"/>
        </w:rPr>
        <w:t xml:space="preserve"> угол наклона и ориентация</w:t>
      </w:r>
      <w:r>
        <w:rPr>
          <w:rFonts w:ascii="Times New Roman" w:hAnsi="Times New Roman" w:eastAsia="Times New Roman" w:cs="Times New Roman"/>
          <w:sz w:val="28"/>
          <w:szCs w:val="28"/>
          <w:lang w:eastAsia="ru-RU"/>
        </w:rPr>
        <w:t xml:space="preserve"> панелей относительно солнца максимально увеличивают количество получаемой солнечной энергии.</w:t>
      </w:r>
    </w:p>
    <w:p w14:paraId="64BDB809">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Наличие теней</w:t>
      </w:r>
      <w:r>
        <w:rPr>
          <w:rFonts w:ascii="Times New Roman" w:hAnsi="Times New Roman" w:eastAsia="Times New Roman" w:cs="Times New Roman"/>
          <w:sz w:val="28"/>
          <w:szCs w:val="28"/>
          <w:lang w:eastAsia="ru-RU"/>
        </w:rPr>
        <w:t xml:space="preserve"> от деревьев, зданий и других объектов могут значительно снизить производительность панелей;</w:t>
      </w:r>
    </w:p>
    <w:p w14:paraId="3D188238">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sz w:val="28"/>
          <w:szCs w:val="28"/>
          <w:lang w:eastAsia="ru-RU"/>
        </w:rPr>
        <w:t>Региональные к</w:t>
      </w:r>
      <w:r>
        <w:rPr>
          <w:rFonts w:ascii="Times New Roman" w:hAnsi="Times New Roman" w:eastAsia="Times New Roman" w:cs="Times New Roman"/>
          <w:b/>
          <w:bCs/>
          <w:sz w:val="28"/>
          <w:szCs w:val="28"/>
          <w:lang w:eastAsia="ru-RU"/>
        </w:rPr>
        <w:t>лиматические условия</w:t>
      </w:r>
      <w:r>
        <w:rPr>
          <w:rFonts w:ascii="Times New Roman" w:hAnsi="Times New Roman" w:eastAsia="Times New Roman" w:cs="Times New Roman"/>
          <w:sz w:val="28"/>
          <w:szCs w:val="28"/>
          <w:lang w:eastAsia="ru-RU"/>
        </w:rPr>
        <w:t>, такие как количество солнечных дней, температура и влажность, играет важную роль в общей производительности системы;</w:t>
      </w:r>
    </w:p>
    <w:p w14:paraId="7DA4DDDB">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sz w:val="28"/>
          <w:szCs w:val="28"/>
          <w:lang w:eastAsia="ru-RU"/>
        </w:rPr>
        <w:t>Эффективные</w:t>
      </w:r>
      <w:r>
        <w:rPr>
          <w:rFonts w:ascii="Times New Roman" w:hAnsi="Times New Roman" w:eastAsia="Times New Roman" w:cs="Times New Roman"/>
          <w:b/>
          <w:bCs/>
          <w:sz w:val="28"/>
          <w:szCs w:val="28"/>
          <w:lang w:eastAsia="ru-RU"/>
        </w:rPr>
        <w:t xml:space="preserve"> системы хранения энергии</w:t>
      </w:r>
      <w:r>
        <w:rPr>
          <w:rFonts w:ascii="Times New Roman" w:hAnsi="Times New Roman" w:eastAsia="Times New Roman" w:cs="Times New Roman"/>
          <w:sz w:val="28"/>
          <w:szCs w:val="28"/>
          <w:lang w:eastAsia="ru-RU"/>
        </w:rPr>
        <w:t>, такие как аккумуляторы, позволяют использовать произведенную энергию в ночное время и в период пиковой нагрузки, повышая общую эффективность системы;</w:t>
      </w:r>
    </w:p>
    <w:p w14:paraId="0D5D59C3">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 xml:space="preserve">Чистота поверхности панелей, </w:t>
      </w:r>
      <w:r>
        <w:rPr>
          <w:rFonts w:ascii="Times New Roman" w:hAnsi="Times New Roman" w:eastAsia="Times New Roman" w:cs="Times New Roman"/>
          <w:bCs/>
          <w:sz w:val="28"/>
          <w:szCs w:val="28"/>
          <w:lang w:eastAsia="ru-RU"/>
        </w:rPr>
        <w:t>п</w:t>
      </w:r>
      <w:r>
        <w:rPr>
          <w:rFonts w:ascii="Times New Roman" w:hAnsi="Times New Roman" w:eastAsia="Times New Roman" w:cs="Times New Roman"/>
          <w:sz w:val="28"/>
          <w:szCs w:val="28"/>
          <w:lang w:eastAsia="ru-RU"/>
        </w:rPr>
        <w:t>ыль, грязь и снег могут значительно снизить эффективность панелей, поэтому регулярная очистка необходима для поддержания их производительности;</w:t>
      </w:r>
    </w:p>
    <w:p w14:paraId="0D351FD5">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sz w:val="28"/>
          <w:szCs w:val="28"/>
          <w:lang w:eastAsia="ru-RU"/>
        </w:rPr>
        <w:t>Высокие</w:t>
      </w:r>
      <w:r>
        <w:rPr>
          <w:rFonts w:ascii="Times New Roman" w:hAnsi="Times New Roman" w:eastAsia="Times New Roman" w:cs="Times New Roman"/>
          <w:b/>
          <w:bCs/>
          <w:sz w:val="28"/>
          <w:szCs w:val="28"/>
          <w:lang w:eastAsia="ru-RU"/>
        </w:rPr>
        <w:t xml:space="preserve"> температурные условия</w:t>
      </w:r>
      <w:r>
        <w:rPr>
          <w:rFonts w:ascii="Times New Roman" w:hAnsi="Times New Roman" w:eastAsia="Times New Roman" w:cs="Times New Roman"/>
          <w:sz w:val="28"/>
          <w:szCs w:val="28"/>
          <w:lang w:eastAsia="ru-RU"/>
        </w:rPr>
        <w:t>: температуры могут снижать производительность панелей, поскольку эффективность кремниевых панелей уменьшается при повышении температуры;</w:t>
      </w:r>
    </w:p>
    <w:p w14:paraId="5D3330CB">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 xml:space="preserve">Деградация панелей, </w:t>
      </w:r>
      <w:r>
        <w:rPr>
          <w:rFonts w:ascii="Times New Roman" w:hAnsi="Times New Roman" w:eastAsia="Times New Roman" w:cs="Times New Roman"/>
          <w:bCs/>
          <w:sz w:val="28"/>
          <w:szCs w:val="28"/>
          <w:lang w:eastAsia="ru-RU"/>
        </w:rPr>
        <w:t>с</w:t>
      </w:r>
      <w:r>
        <w:rPr>
          <w:rFonts w:ascii="Times New Roman" w:hAnsi="Times New Roman" w:eastAsia="Times New Roman" w:cs="Times New Roman"/>
          <w:sz w:val="28"/>
          <w:szCs w:val="28"/>
          <w:lang w:eastAsia="ru-RU"/>
        </w:rPr>
        <w:t xml:space="preserve"> течением времени эффективность панелей может снижаться из-за процессов деградации материалов, используемых в их производстве;</w:t>
      </w:r>
    </w:p>
    <w:p w14:paraId="1357ED38">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 xml:space="preserve">Тип инвертора, </w:t>
      </w:r>
      <w:r>
        <w:rPr>
          <w:rFonts w:ascii="Times New Roman" w:hAnsi="Times New Roman" w:eastAsia="Times New Roman" w:cs="Times New Roman"/>
          <w:bCs/>
          <w:sz w:val="28"/>
          <w:szCs w:val="28"/>
          <w:lang w:eastAsia="ru-RU"/>
        </w:rPr>
        <w:t>о</w:t>
      </w:r>
      <w:r>
        <w:rPr>
          <w:rFonts w:ascii="Times New Roman" w:hAnsi="Times New Roman" w:eastAsia="Times New Roman" w:cs="Times New Roman"/>
          <w:sz w:val="28"/>
          <w:szCs w:val="28"/>
          <w:lang w:eastAsia="ru-RU"/>
        </w:rPr>
        <w:t>птимальный выбор инвертора может значительно повысить общую эффективность системы за счет минимизации потерь при преобразовании постоянного тока в переменный;</w:t>
      </w:r>
    </w:p>
    <w:p w14:paraId="6FA1B07A">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Электропроводка</w:t>
      </w:r>
      <w:r>
        <w:rPr>
          <w:rFonts w:ascii="Times New Roman" w:hAnsi="Times New Roman" w:eastAsia="Times New Roman" w:cs="Times New Roman"/>
          <w:sz w:val="28"/>
          <w:szCs w:val="28"/>
          <w:lang w:eastAsia="ru-RU"/>
        </w:rPr>
        <w:t>, качество и длина проводки могут влиять на потери энергии, поэтому важно использовать высококачественные материалы и минимизировать длину проводов;</w:t>
      </w:r>
    </w:p>
    <w:p w14:paraId="7BBE5E30">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 xml:space="preserve">Уровень солнечной радиации </w:t>
      </w:r>
      <w:r>
        <w:rPr>
          <w:rFonts w:ascii="Times New Roman" w:hAnsi="Times New Roman" w:eastAsia="Times New Roman" w:cs="Times New Roman"/>
          <w:sz w:val="28"/>
          <w:szCs w:val="28"/>
          <w:lang w:eastAsia="ru-RU"/>
        </w:rPr>
        <w:t>в регионе увеличивает производительность панелей, что делает солнечную энергию особенно эффективной в солнечных и жарких регионах;</w:t>
      </w:r>
    </w:p>
    <w:p w14:paraId="2278B61C">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sz w:val="28"/>
          <w:szCs w:val="28"/>
          <w:lang w:eastAsia="ru-RU"/>
        </w:rPr>
        <w:t>Современные т</w:t>
      </w:r>
      <w:r>
        <w:rPr>
          <w:rFonts w:ascii="Times New Roman" w:hAnsi="Times New Roman" w:eastAsia="Times New Roman" w:cs="Times New Roman"/>
          <w:b/>
          <w:bCs/>
          <w:sz w:val="28"/>
          <w:szCs w:val="28"/>
          <w:lang w:eastAsia="ru-RU"/>
        </w:rPr>
        <w:t>ехнология производства</w:t>
      </w:r>
      <w:r>
        <w:rPr>
          <w:rFonts w:ascii="Times New Roman" w:hAnsi="Times New Roman" w:eastAsia="Times New Roman" w:cs="Times New Roman"/>
          <w:sz w:val="28"/>
          <w:szCs w:val="28"/>
          <w:lang w:eastAsia="ru-RU"/>
        </w:rPr>
        <w:t xml:space="preserve"> могут обеспечить более высокую эффективность панелей за счет использования передовых материалов и методов обработки;</w:t>
      </w:r>
    </w:p>
    <w:p w14:paraId="4A09B248">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Поддержка и обслуживание</w:t>
      </w:r>
      <w:r>
        <w:rPr>
          <w:rFonts w:ascii="Times New Roman" w:hAnsi="Times New Roman" w:eastAsia="Times New Roman" w:cs="Times New Roman"/>
          <w:sz w:val="28"/>
          <w:szCs w:val="28"/>
          <w:lang w:eastAsia="ru-RU"/>
        </w:rPr>
        <w:t xml:space="preserve"> системы могут значительно увеличить ее долговечность и производительность, предотвращая потенциальные поломки и снижая эксплуатационные расходы;</w:t>
      </w:r>
    </w:p>
    <w:p w14:paraId="10092427">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sz w:val="28"/>
          <w:szCs w:val="28"/>
          <w:lang w:eastAsia="ru-RU"/>
        </w:rPr>
        <w:t>Профессиональная</w:t>
      </w:r>
      <w:r>
        <w:rPr>
          <w:rFonts w:ascii="Times New Roman" w:hAnsi="Times New Roman" w:eastAsia="Times New Roman" w:cs="Times New Roman"/>
          <w:b/>
          <w:bCs/>
          <w:sz w:val="28"/>
          <w:szCs w:val="28"/>
          <w:lang w:eastAsia="ru-RU"/>
        </w:rPr>
        <w:t xml:space="preserve"> установка и монтаж</w:t>
      </w:r>
      <w:r>
        <w:rPr>
          <w:rFonts w:ascii="Times New Roman" w:hAnsi="Times New Roman" w:eastAsia="Times New Roman" w:cs="Times New Roman"/>
          <w:sz w:val="28"/>
          <w:szCs w:val="28"/>
          <w:lang w:eastAsia="ru-RU"/>
        </w:rPr>
        <w:t xml:space="preserve"> системы могут предотвратить потери энергии и обеспечить оптимальную производительность за счет правильного выбора места и метода установки;</w:t>
      </w:r>
    </w:p>
    <w:p w14:paraId="57096900">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sz w:val="28"/>
          <w:szCs w:val="28"/>
          <w:lang w:eastAsia="ru-RU"/>
        </w:rPr>
        <w:t>Эффективная интеграция</w:t>
      </w:r>
      <w:r>
        <w:rPr>
          <w:rFonts w:ascii="Times New Roman" w:hAnsi="Times New Roman" w:eastAsia="Times New Roman" w:cs="Times New Roman"/>
          <w:sz w:val="28"/>
          <w:szCs w:val="28"/>
          <w:lang w:eastAsia="ru-RU"/>
        </w:rPr>
        <w:t xml:space="preserve"> солнечной системы с другими энергосистемами и сетями может улучшить общую производительность и использование энергии.</w:t>
      </w:r>
    </w:p>
    <w:p w14:paraId="281A78C3">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Преимущества солнечных систем:</w:t>
      </w:r>
    </w:p>
    <w:p w14:paraId="6418257A">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Снижение углеродного следа -</w:t>
      </w:r>
      <w:r>
        <w:rPr>
          <w:rFonts w:ascii="Times New Roman" w:hAnsi="Times New Roman" w:eastAsia="Times New Roman" w:cs="Times New Roman"/>
          <w:sz w:val="28"/>
          <w:szCs w:val="28"/>
          <w:lang w:eastAsia="ru-RU"/>
        </w:rPr>
        <w:t xml:space="preserve"> солнечные системы существенно снижают выбросы углекислого газа, способствуя борьбе с изменением климата;</w:t>
      </w:r>
    </w:p>
    <w:p w14:paraId="26CD1EF2">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xml:space="preserve">- Экономическая выгода - </w:t>
      </w:r>
      <w:r>
        <w:rPr>
          <w:rFonts w:ascii="Times New Roman" w:hAnsi="Times New Roman" w:eastAsia="Times New Roman" w:cs="Times New Roman"/>
          <w:bCs/>
          <w:sz w:val="28"/>
          <w:szCs w:val="28"/>
          <w:lang w:eastAsia="ru-RU"/>
        </w:rPr>
        <w:t>с</w:t>
      </w:r>
      <w:r>
        <w:rPr>
          <w:rFonts w:ascii="Times New Roman" w:hAnsi="Times New Roman" w:eastAsia="Times New Roman" w:cs="Times New Roman"/>
          <w:sz w:val="28"/>
          <w:szCs w:val="28"/>
          <w:lang w:eastAsia="ru-RU"/>
        </w:rPr>
        <w:t>нижение затрат на электроэнергию и возможность продажи излишков энергии обеспечивают быструю окупаемость системы;</w:t>
      </w:r>
    </w:p>
    <w:p w14:paraId="26922214">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Энергонезависимость</w:t>
      </w:r>
      <w:r>
        <w:rPr>
          <w:rFonts w:ascii="Times New Roman" w:hAnsi="Times New Roman" w:eastAsia="Times New Roman" w:cs="Times New Roman"/>
          <w:sz w:val="28"/>
          <w:szCs w:val="28"/>
          <w:lang w:eastAsia="ru-RU"/>
        </w:rPr>
        <w:t xml:space="preserve"> - солнечные системы обеспечивают независимость от традиционных источников энергии и колебаний цен на энергоносители;</w:t>
      </w:r>
    </w:p>
    <w:p w14:paraId="7441013E">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xml:space="preserve">- Долговечность - </w:t>
      </w:r>
      <w:r>
        <w:rPr>
          <w:rFonts w:ascii="Times New Roman" w:hAnsi="Times New Roman" w:eastAsia="Times New Roman" w:cs="Times New Roman"/>
          <w:bCs/>
          <w:sz w:val="28"/>
          <w:szCs w:val="28"/>
          <w:lang w:eastAsia="ru-RU"/>
        </w:rPr>
        <w:t>с</w:t>
      </w:r>
      <w:r>
        <w:rPr>
          <w:rFonts w:ascii="Times New Roman" w:hAnsi="Times New Roman" w:eastAsia="Times New Roman" w:cs="Times New Roman"/>
          <w:sz w:val="28"/>
          <w:szCs w:val="28"/>
          <w:lang w:eastAsia="ru-RU"/>
        </w:rPr>
        <w:t>овременные солнечные панели обладают длительным сроком службы, часто превышающим 25 лет;</w:t>
      </w:r>
    </w:p>
    <w:p w14:paraId="350741FF">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xml:space="preserve">- Низкие эксплуатационные расходы - </w:t>
      </w:r>
      <w:r>
        <w:rPr>
          <w:rFonts w:ascii="Times New Roman" w:hAnsi="Times New Roman" w:eastAsia="Times New Roman" w:cs="Times New Roman"/>
          <w:bCs/>
          <w:sz w:val="28"/>
          <w:szCs w:val="28"/>
          <w:lang w:eastAsia="ru-RU"/>
        </w:rPr>
        <w:t>м</w:t>
      </w:r>
      <w:r>
        <w:rPr>
          <w:rFonts w:ascii="Times New Roman" w:hAnsi="Times New Roman" w:eastAsia="Times New Roman" w:cs="Times New Roman"/>
          <w:sz w:val="28"/>
          <w:szCs w:val="28"/>
          <w:lang w:eastAsia="ru-RU"/>
        </w:rPr>
        <w:t>инимальные затраты на обслуживание после установки делают солнечные системы экономически выгодными в долгосрочной перспективе;</w:t>
      </w:r>
    </w:p>
    <w:p w14:paraId="4E9D2252">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Быстрая окупаемость</w:t>
      </w:r>
      <w:r>
        <w:rPr>
          <w:rFonts w:ascii="Times New Roman" w:hAnsi="Times New Roman" w:eastAsia="Times New Roman" w:cs="Times New Roman"/>
          <w:sz w:val="28"/>
          <w:szCs w:val="28"/>
          <w:lang w:eastAsia="ru-RU"/>
        </w:rPr>
        <w:t xml:space="preserve"> - снижение счетов за электроэнергию позволяет быстро окупить затраты на установку системы;</w:t>
      </w:r>
    </w:p>
    <w:p w14:paraId="6DDF2ADC">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Устойчивость к внешним условиям</w:t>
      </w:r>
      <w:r>
        <w:rPr>
          <w:rFonts w:ascii="Times New Roman" w:hAnsi="Times New Roman" w:eastAsia="Times New Roman" w:cs="Times New Roman"/>
          <w:sz w:val="28"/>
          <w:szCs w:val="28"/>
          <w:lang w:eastAsia="ru-RU"/>
        </w:rPr>
        <w:t xml:space="preserve"> - современные солнечные панели устойчивы к различным погодным условиям, включая град, снег и высокие температуры;</w:t>
      </w:r>
    </w:p>
    <w:p w14:paraId="1BE95DD3">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xml:space="preserve">- Возможность масштабирования - </w:t>
      </w:r>
      <w:r>
        <w:rPr>
          <w:rFonts w:ascii="Times New Roman" w:hAnsi="Times New Roman" w:eastAsia="Times New Roman" w:cs="Times New Roman"/>
          <w:bCs/>
          <w:sz w:val="28"/>
          <w:szCs w:val="28"/>
          <w:lang w:eastAsia="ru-RU"/>
        </w:rPr>
        <w:t>л</w:t>
      </w:r>
      <w:r>
        <w:rPr>
          <w:rFonts w:ascii="Times New Roman" w:hAnsi="Times New Roman" w:eastAsia="Times New Roman" w:cs="Times New Roman"/>
          <w:sz w:val="28"/>
          <w:szCs w:val="28"/>
          <w:lang w:eastAsia="ru-RU"/>
        </w:rPr>
        <w:t>егкость добавления дополнительных панелей для увеличения производительности системы делает ее гибкой и удобной для расширения;</w:t>
      </w:r>
    </w:p>
    <w:p w14:paraId="1DD094EE">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 xml:space="preserve">- Поддержка возобновляемых источников - </w:t>
      </w:r>
      <w:r>
        <w:rPr>
          <w:rFonts w:ascii="Times New Roman" w:hAnsi="Times New Roman" w:eastAsia="Times New Roman" w:cs="Times New Roman"/>
          <w:bCs/>
          <w:sz w:val="28"/>
          <w:szCs w:val="28"/>
          <w:lang w:eastAsia="ru-RU"/>
        </w:rPr>
        <w:t>и</w:t>
      </w:r>
      <w:r>
        <w:rPr>
          <w:rFonts w:ascii="Times New Roman" w:hAnsi="Times New Roman" w:eastAsia="Times New Roman" w:cs="Times New Roman"/>
          <w:sz w:val="28"/>
          <w:szCs w:val="28"/>
          <w:lang w:eastAsia="ru-RU"/>
        </w:rPr>
        <w:t>спользование солнечных систем способствует снижению зависимости от ископаемых видов топлива и поддерживает устойчивое развитие энергетики.</w:t>
      </w:r>
    </w:p>
    <w:p w14:paraId="5449597C">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Глобальные тенденции и статистические показатели:</w:t>
      </w:r>
    </w:p>
    <w:p w14:paraId="64970F02">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Солнечная энергетика демонстрирует устойчивый рост и развитие на глобальном уровне. Установленная мощность солнечных систем возросла с 23 ГВт в 2010 году до 710 ГВт в 2020 году, и прогнозируется, что к 2030 году этот показатель достигнет 2,840 ГВт. Стоимость производства солнечных панелей снизилась на 80% за последние десять лет, что делает их более доступными и привлекательными для использования.</w:t>
      </w:r>
    </w:p>
    <w:p w14:paraId="69EDFE13">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Наибольшая установленная мощность солнечных систем наблюдается в Китае, составляя 250 ГВт. Другие крупные производители включают Германию (50 ГВт) и США (90 ГВт). Темпы роста рынка солнечной энергии составляют 20-25% ежегодно, что свидетельствует о высоком потенциале и интересе к данной технологии.</w:t>
      </w:r>
    </w:p>
    <w:p w14:paraId="52F236D5">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Средняя стоимость солнечной электроэнергии составляет около $0.05 за кВт·ч, что делает ее конкурентоспособной по сравнению с традиционными источниками энергии. В отрасли солнечной энергетики занято около 11 миллионов человек, а инвестиции в этот сектор в 2020 году составили $148 миллиардов. Процент мирового энергобаланса из солнечной энергии составил 3% в 2020 году, и ожидается, что к 2030 году этот показатель увеличится до 10%.</w:t>
      </w:r>
    </w:p>
    <w:p w14:paraId="208F2CFF">
      <w:pPr>
        <w:tabs>
          <w:tab w:val="left" w:pos="369"/>
        </w:tabs>
        <w:spacing w:after="0" w:line="240" w:lineRule="auto"/>
        <w:jc w:val="right"/>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4</w:t>
      </w:r>
    </w:p>
    <w:p w14:paraId="77B33716">
      <w:pPr>
        <w:tabs>
          <w:tab w:val="left" w:pos="369"/>
        </w:tabs>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Глобальные тенденции и статистические показатели</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74"/>
        <w:gridCol w:w="2971"/>
      </w:tblGrid>
      <w:tr w14:paraId="2437D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DEEAF6" w:themeFill="accent1" w:themeFillTint="33"/>
          </w:tcPr>
          <w:p w14:paraId="5BAC759A">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Показатель</w:t>
            </w:r>
          </w:p>
        </w:tc>
        <w:tc>
          <w:tcPr>
            <w:tcW w:w="2971" w:type="dxa"/>
            <w:shd w:val="clear" w:color="auto" w:fill="DEEAF6" w:themeFill="accent1" w:themeFillTint="33"/>
          </w:tcPr>
          <w:p w14:paraId="2232EF26">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Значение</w:t>
            </w:r>
          </w:p>
        </w:tc>
      </w:tr>
      <w:tr w14:paraId="39B7A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FEF2CC" w:themeFill="accent4" w:themeFillTint="33"/>
          </w:tcPr>
          <w:p w14:paraId="5E3BE028">
            <w:pPr>
              <w:spacing w:after="0" w:line="240" w:lineRule="auto"/>
              <w:rPr>
                <w:rFonts w:ascii="Times New Roman" w:hAnsi="Times New Roman" w:cs="Times New Roman"/>
                <w:sz w:val="26"/>
                <w:szCs w:val="26"/>
              </w:rPr>
            </w:pPr>
            <w:r>
              <w:rPr>
                <w:rFonts w:ascii="Times New Roman" w:hAnsi="Times New Roman" w:cs="Times New Roman"/>
                <w:sz w:val="26"/>
                <w:szCs w:val="26"/>
              </w:rPr>
              <w:t>Установленная мощность (2010)</w:t>
            </w:r>
          </w:p>
        </w:tc>
        <w:tc>
          <w:tcPr>
            <w:tcW w:w="2971" w:type="dxa"/>
            <w:shd w:val="clear" w:color="auto" w:fill="FEF2CC" w:themeFill="accent4" w:themeFillTint="33"/>
          </w:tcPr>
          <w:p w14:paraId="32FBF220">
            <w:pPr>
              <w:spacing w:after="0" w:line="240" w:lineRule="auto"/>
              <w:rPr>
                <w:rFonts w:ascii="Times New Roman" w:hAnsi="Times New Roman" w:cs="Times New Roman"/>
                <w:sz w:val="26"/>
                <w:szCs w:val="26"/>
              </w:rPr>
            </w:pPr>
            <w:r>
              <w:rPr>
                <w:rFonts w:ascii="Times New Roman" w:hAnsi="Times New Roman" w:cs="Times New Roman"/>
                <w:sz w:val="26"/>
                <w:szCs w:val="26"/>
              </w:rPr>
              <w:t>23 ГВт</w:t>
            </w:r>
          </w:p>
        </w:tc>
      </w:tr>
      <w:tr w14:paraId="483BA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E2EFD9" w:themeFill="accent6" w:themeFillTint="33"/>
          </w:tcPr>
          <w:p w14:paraId="7F96802B">
            <w:pPr>
              <w:spacing w:after="0" w:line="240" w:lineRule="auto"/>
              <w:rPr>
                <w:rFonts w:ascii="Times New Roman" w:hAnsi="Times New Roman" w:cs="Times New Roman"/>
                <w:sz w:val="26"/>
                <w:szCs w:val="26"/>
              </w:rPr>
            </w:pPr>
            <w:r>
              <w:rPr>
                <w:rFonts w:ascii="Times New Roman" w:hAnsi="Times New Roman" w:cs="Times New Roman"/>
                <w:sz w:val="26"/>
                <w:szCs w:val="26"/>
              </w:rPr>
              <w:t>Установленная мощность (2020)</w:t>
            </w:r>
          </w:p>
        </w:tc>
        <w:tc>
          <w:tcPr>
            <w:tcW w:w="2971" w:type="dxa"/>
            <w:shd w:val="clear" w:color="auto" w:fill="E2EFD9" w:themeFill="accent6" w:themeFillTint="33"/>
          </w:tcPr>
          <w:p w14:paraId="4F1C4841">
            <w:pPr>
              <w:spacing w:after="0" w:line="240" w:lineRule="auto"/>
              <w:rPr>
                <w:rFonts w:ascii="Times New Roman" w:hAnsi="Times New Roman" w:cs="Times New Roman"/>
                <w:sz w:val="26"/>
                <w:szCs w:val="26"/>
              </w:rPr>
            </w:pPr>
            <w:r>
              <w:rPr>
                <w:rFonts w:ascii="Times New Roman" w:hAnsi="Times New Roman" w:cs="Times New Roman"/>
                <w:sz w:val="26"/>
                <w:szCs w:val="26"/>
              </w:rPr>
              <w:t>710 ГВт</w:t>
            </w:r>
          </w:p>
        </w:tc>
      </w:tr>
      <w:tr w14:paraId="30E3B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FEF2CC" w:themeFill="accent4" w:themeFillTint="33"/>
          </w:tcPr>
          <w:p w14:paraId="66D0E665">
            <w:pPr>
              <w:spacing w:after="0" w:line="240" w:lineRule="auto"/>
              <w:rPr>
                <w:rFonts w:ascii="Times New Roman" w:hAnsi="Times New Roman" w:cs="Times New Roman"/>
                <w:sz w:val="26"/>
                <w:szCs w:val="26"/>
              </w:rPr>
            </w:pPr>
            <w:r>
              <w:rPr>
                <w:rFonts w:ascii="Times New Roman" w:hAnsi="Times New Roman" w:cs="Times New Roman"/>
                <w:sz w:val="26"/>
                <w:szCs w:val="26"/>
              </w:rPr>
              <w:t>Прогнозируемая мощность (2030)</w:t>
            </w:r>
          </w:p>
        </w:tc>
        <w:tc>
          <w:tcPr>
            <w:tcW w:w="2971" w:type="dxa"/>
            <w:shd w:val="clear" w:color="auto" w:fill="FEF2CC" w:themeFill="accent4" w:themeFillTint="33"/>
          </w:tcPr>
          <w:p w14:paraId="6EC637B4">
            <w:pPr>
              <w:spacing w:after="0" w:line="240" w:lineRule="auto"/>
              <w:rPr>
                <w:rFonts w:ascii="Times New Roman" w:hAnsi="Times New Roman" w:cs="Times New Roman"/>
                <w:sz w:val="26"/>
                <w:szCs w:val="26"/>
              </w:rPr>
            </w:pPr>
            <w:r>
              <w:rPr>
                <w:rFonts w:ascii="Times New Roman" w:hAnsi="Times New Roman" w:cs="Times New Roman"/>
                <w:sz w:val="26"/>
                <w:szCs w:val="26"/>
              </w:rPr>
              <w:t>2,840 ГВт</w:t>
            </w:r>
          </w:p>
        </w:tc>
      </w:tr>
      <w:tr w14:paraId="1DD59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E2EFD9" w:themeFill="accent6" w:themeFillTint="33"/>
          </w:tcPr>
          <w:p w14:paraId="25B4F3F7">
            <w:pPr>
              <w:spacing w:after="0" w:line="240" w:lineRule="auto"/>
              <w:rPr>
                <w:rFonts w:ascii="Times New Roman" w:hAnsi="Times New Roman" w:cs="Times New Roman"/>
                <w:sz w:val="26"/>
                <w:szCs w:val="26"/>
              </w:rPr>
            </w:pPr>
            <w:r>
              <w:rPr>
                <w:rFonts w:ascii="Times New Roman" w:hAnsi="Times New Roman" w:cs="Times New Roman"/>
                <w:sz w:val="26"/>
                <w:szCs w:val="26"/>
              </w:rPr>
              <w:t>Снижение стоимости производства</w:t>
            </w:r>
          </w:p>
        </w:tc>
        <w:tc>
          <w:tcPr>
            <w:tcW w:w="2971" w:type="dxa"/>
            <w:shd w:val="clear" w:color="auto" w:fill="E2EFD9" w:themeFill="accent6" w:themeFillTint="33"/>
          </w:tcPr>
          <w:p w14:paraId="76FAE3B2">
            <w:pPr>
              <w:spacing w:after="0" w:line="240" w:lineRule="auto"/>
              <w:rPr>
                <w:rFonts w:ascii="Times New Roman" w:hAnsi="Times New Roman" w:cs="Times New Roman"/>
                <w:sz w:val="26"/>
                <w:szCs w:val="26"/>
              </w:rPr>
            </w:pPr>
            <w:r>
              <w:rPr>
                <w:rFonts w:ascii="Times New Roman" w:hAnsi="Times New Roman" w:cs="Times New Roman"/>
                <w:sz w:val="26"/>
                <w:szCs w:val="26"/>
              </w:rPr>
              <w:t>80% за последние десять лет</w:t>
            </w:r>
          </w:p>
        </w:tc>
      </w:tr>
      <w:tr w14:paraId="6C8C2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FEF2CC" w:themeFill="accent4" w:themeFillTint="33"/>
          </w:tcPr>
          <w:p w14:paraId="1CC1A93F">
            <w:pPr>
              <w:spacing w:after="0" w:line="240" w:lineRule="auto"/>
              <w:rPr>
                <w:rFonts w:ascii="Times New Roman" w:hAnsi="Times New Roman" w:cs="Times New Roman"/>
                <w:sz w:val="26"/>
                <w:szCs w:val="26"/>
              </w:rPr>
            </w:pPr>
            <w:r>
              <w:rPr>
                <w:rFonts w:ascii="Times New Roman" w:hAnsi="Times New Roman" w:cs="Times New Roman"/>
                <w:sz w:val="26"/>
                <w:szCs w:val="26"/>
              </w:rPr>
              <w:t>Страна с наибольшей установленной мощностью</w:t>
            </w:r>
          </w:p>
        </w:tc>
        <w:tc>
          <w:tcPr>
            <w:tcW w:w="2971" w:type="dxa"/>
            <w:shd w:val="clear" w:color="auto" w:fill="FEF2CC" w:themeFill="accent4" w:themeFillTint="33"/>
          </w:tcPr>
          <w:p w14:paraId="08CDF74A">
            <w:pPr>
              <w:spacing w:after="0" w:line="240" w:lineRule="auto"/>
              <w:rPr>
                <w:rFonts w:ascii="Times New Roman" w:hAnsi="Times New Roman" w:cs="Times New Roman"/>
                <w:sz w:val="26"/>
                <w:szCs w:val="26"/>
              </w:rPr>
            </w:pPr>
            <w:r>
              <w:rPr>
                <w:rFonts w:ascii="Times New Roman" w:hAnsi="Times New Roman" w:cs="Times New Roman"/>
                <w:sz w:val="26"/>
                <w:szCs w:val="26"/>
              </w:rPr>
              <w:t>Китай (250 ГВт)</w:t>
            </w:r>
          </w:p>
        </w:tc>
      </w:tr>
      <w:tr w14:paraId="78766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E2EFD9" w:themeFill="accent6" w:themeFillTint="33"/>
          </w:tcPr>
          <w:p w14:paraId="7BE7D60B">
            <w:pPr>
              <w:spacing w:after="0" w:line="240" w:lineRule="auto"/>
              <w:rPr>
                <w:rFonts w:ascii="Times New Roman" w:hAnsi="Times New Roman" w:cs="Times New Roman"/>
                <w:sz w:val="26"/>
                <w:szCs w:val="26"/>
              </w:rPr>
            </w:pPr>
            <w:r>
              <w:rPr>
                <w:rFonts w:ascii="Times New Roman" w:hAnsi="Times New Roman" w:cs="Times New Roman"/>
                <w:sz w:val="26"/>
                <w:szCs w:val="26"/>
              </w:rPr>
              <w:t>Крупные страны-производители</w:t>
            </w:r>
          </w:p>
        </w:tc>
        <w:tc>
          <w:tcPr>
            <w:tcW w:w="2971" w:type="dxa"/>
            <w:shd w:val="clear" w:color="auto" w:fill="E2EFD9" w:themeFill="accent6" w:themeFillTint="33"/>
          </w:tcPr>
          <w:p w14:paraId="73DB92E2">
            <w:pPr>
              <w:spacing w:after="0" w:line="240" w:lineRule="auto"/>
              <w:rPr>
                <w:rFonts w:ascii="Times New Roman" w:hAnsi="Times New Roman" w:cs="Times New Roman"/>
                <w:sz w:val="26"/>
                <w:szCs w:val="26"/>
              </w:rPr>
            </w:pPr>
            <w:r>
              <w:rPr>
                <w:rFonts w:ascii="Times New Roman" w:hAnsi="Times New Roman" w:cs="Times New Roman"/>
                <w:sz w:val="26"/>
                <w:szCs w:val="26"/>
              </w:rPr>
              <w:t>Германия (50 ГВт), США (90 ГВт)</w:t>
            </w:r>
          </w:p>
        </w:tc>
      </w:tr>
      <w:tr w14:paraId="6C4D6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FEF2CC" w:themeFill="accent4" w:themeFillTint="33"/>
          </w:tcPr>
          <w:p w14:paraId="42C44448">
            <w:pPr>
              <w:spacing w:after="0" w:line="240" w:lineRule="auto"/>
              <w:rPr>
                <w:rFonts w:ascii="Times New Roman" w:hAnsi="Times New Roman" w:cs="Times New Roman"/>
                <w:sz w:val="26"/>
                <w:szCs w:val="26"/>
              </w:rPr>
            </w:pPr>
            <w:r>
              <w:rPr>
                <w:rFonts w:ascii="Times New Roman" w:hAnsi="Times New Roman" w:cs="Times New Roman"/>
                <w:sz w:val="26"/>
                <w:szCs w:val="26"/>
              </w:rPr>
              <w:t>Темпы роста рынка солнечной энергии</w:t>
            </w:r>
          </w:p>
        </w:tc>
        <w:tc>
          <w:tcPr>
            <w:tcW w:w="2971" w:type="dxa"/>
            <w:shd w:val="clear" w:color="auto" w:fill="FEF2CC" w:themeFill="accent4" w:themeFillTint="33"/>
          </w:tcPr>
          <w:p w14:paraId="5CC74D4E">
            <w:pPr>
              <w:spacing w:after="0" w:line="240" w:lineRule="auto"/>
              <w:rPr>
                <w:rFonts w:ascii="Times New Roman" w:hAnsi="Times New Roman" w:cs="Times New Roman"/>
                <w:sz w:val="26"/>
                <w:szCs w:val="26"/>
              </w:rPr>
            </w:pPr>
            <w:r>
              <w:rPr>
                <w:rFonts w:ascii="Times New Roman" w:hAnsi="Times New Roman" w:cs="Times New Roman"/>
                <w:sz w:val="26"/>
                <w:szCs w:val="26"/>
              </w:rPr>
              <w:t>20-25% ежегодно</w:t>
            </w:r>
          </w:p>
        </w:tc>
      </w:tr>
      <w:tr w14:paraId="6DF9E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E2EFD9" w:themeFill="accent6" w:themeFillTint="33"/>
          </w:tcPr>
          <w:p w14:paraId="07B77D38">
            <w:pPr>
              <w:spacing w:after="0" w:line="240" w:lineRule="auto"/>
              <w:rPr>
                <w:rFonts w:ascii="Times New Roman" w:hAnsi="Times New Roman" w:cs="Times New Roman"/>
                <w:sz w:val="26"/>
                <w:szCs w:val="26"/>
              </w:rPr>
            </w:pPr>
            <w:r>
              <w:rPr>
                <w:rFonts w:ascii="Times New Roman" w:hAnsi="Times New Roman" w:cs="Times New Roman"/>
                <w:sz w:val="26"/>
                <w:szCs w:val="26"/>
              </w:rPr>
              <w:t>Средняя стоимость солнечной электроэнергии</w:t>
            </w:r>
          </w:p>
        </w:tc>
        <w:tc>
          <w:tcPr>
            <w:tcW w:w="2971" w:type="dxa"/>
            <w:shd w:val="clear" w:color="auto" w:fill="E2EFD9" w:themeFill="accent6" w:themeFillTint="33"/>
          </w:tcPr>
          <w:p w14:paraId="43A64AD0">
            <w:pPr>
              <w:spacing w:after="0" w:line="240" w:lineRule="auto"/>
              <w:rPr>
                <w:rFonts w:ascii="Times New Roman" w:hAnsi="Times New Roman" w:cs="Times New Roman"/>
                <w:sz w:val="26"/>
                <w:szCs w:val="26"/>
              </w:rPr>
            </w:pPr>
            <w:r>
              <w:rPr>
                <w:rFonts w:ascii="Times New Roman" w:hAnsi="Times New Roman" w:cs="Times New Roman"/>
                <w:sz w:val="26"/>
                <w:szCs w:val="26"/>
              </w:rPr>
              <w:t>$0.05 за кВт·ч</w:t>
            </w:r>
          </w:p>
        </w:tc>
      </w:tr>
      <w:tr w14:paraId="17D53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FEF2CC" w:themeFill="accent4" w:themeFillTint="33"/>
          </w:tcPr>
          <w:p w14:paraId="3A30D5D4">
            <w:pPr>
              <w:spacing w:after="0" w:line="240" w:lineRule="auto"/>
              <w:rPr>
                <w:rFonts w:ascii="Times New Roman" w:hAnsi="Times New Roman" w:cs="Times New Roman"/>
                <w:sz w:val="26"/>
                <w:szCs w:val="26"/>
              </w:rPr>
            </w:pPr>
            <w:r>
              <w:rPr>
                <w:rFonts w:ascii="Times New Roman" w:hAnsi="Times New Roman" w:cs="Times New Roman"/>
                <w:sz w:val="26"/>
                <w:szCs w:val="26"/>
              </w:rPr>
              <w:t>Количество рабочих мест в отрасли</w:t>
            </w:r>
          </w:p>
        </w:tc>
        <w:tc>
          <w:tcPr>
            <w:tcW w:w="2971" w:type="dxa"/>
            <w:shd w:val="clear" w:color="auto" w:fill="FEF2CC" w:themeFill="accent4" w:themeFillTint="33"/>
          </w:tcPr>
          <w:p w14:paraId="206235DA">
            <w:pPr>
              <w:spacing w:after="0" w:line="240" w:lineRule="auto"/>
              <w:rPr>
                <w:rFonts w:ascii="Times New Roman" w:hAnsi="Times New Roman" w:cs="Times New Roman"/>
                <w:sz w:val="26"/>
                <w:szCs w:val="26"/>
              </w:rPr>
            </w:pPr>
            <w:r>
              <w:rPr>
                <w:rFonts w:ascii="Times New Roman" w:hAnsi="Times New Roman" w:cs="Times New Roman"/>
                <w:sz w:val="26"/>
                <w:szCs w:val="26"/>
              </w:rPr>
              <w:t>11 миллионов (2020)</w:t>
            </w:r>
          </w:p>
        </w:tc>
      </w:tr>
      <w:tr w14:paraId="68555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E2EFD9" w:themeFill="accent6" w:themeFillTint="33"/>
          </w:tcPr>
          <w:p w14:paraId="6E25B832">
            <w:pPr>
              <w:spacing w:after="0" w:line="240" w:lineRule="auto"/>
              <w:rPr>
                <w:rFonts w:ascii="Times New Roman" w:hAnsi="Times New Roman" w:cs="Times New Roman"/>
                <w:sz w:val="26"/>
                <w:szCs w:val="26"/>
              </w:rPr>
            </w:pPr>
            <w:r>
              <w:rPr>
                <w:rFonts w:ascii="Times New Roman" w:hAnsi="Times New Roman" w:cs="Times New Roman"/>
                <w:sz w:val="26"/>
                <w:szCs w:val="26"/>
              </w:rPr>
              <w:t>Инвестиции в солнечную энергию (2020)</w:t>
            </w:r>
          </w:p>
        </w:tc>
        <w:tc>
          <w:tcPr>
            <w:tcW w:w="2971" w:type="dxa"/>
            <w:shd w:val="clear" w:color="auto" w:fill="E2EFD9" w:themeFill="accent6" w:themeFillTint="33"/>
          </w:tcPr>
          <w:p w14:paraId="653BDF02">
            <w:pPr>
              <w:spacing w:after="0" w:line="240" w:lineRule="auto"/>
              <w:rPr>
                <w:rFonts w:ascii="Times New Roman" w:hAnsi="Times New Roman" w:cs="Times New Roman"/>
                <w:sz w:val="26"/>
                <w:szCs w:val="26"/>
              </w:rPr>
            </w:pPr>
            <w:r>
              <w:rPr>
                <w:rFonts w:ascii="Times New Roman" w:hAnsi="Times New Roman" w:cs="Times New Roman"/>
                <w:sz w:val="26"/>
                <w:szCs w:val="26"/>
              </w:rPr>
              <w:t>$148 миллиардов</w:t>
            </w:r>
          </w:p>
        </w:tc>
      </w:tr>
      <w:tr w14:paraId="16DE6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FEF2CC" w:themeFill="accent4" w:themeFillTint="33"/>
          </w:tcPr>
          <w:p w14:paraId="7A964D9D">
            <w:pPr>
              <w:spacing w:after="0" w:line="240" w:lineRule="auto"/>
              <w:rPr>
                <w:rFonts w:ascii="Times New Roman" w:hAnsi="Times New Roman" w:cs="Times New Roman"/>
                <w:sz w:val="26"/>
                <w:szCs w:val="26"/>
              </w:rPr>
            </w:pPr>
            <w:r>
              <w:rPr>
                <w:rFonts w:ascii="Times New Roman" w:hAnsi="Times New Roman" w:cs="Times New Roman"/>
                <w:sz w:val="26"/>
                <w:szCs w:val="26"/>
              </w:rPr>
              <w:t>Процент мирового энергобаланса из солнечной энергии</w:t>
            </w:r>
          </w:p>
        </w:tc>
        <w:tc>
          <w:tcPr>
            <w:tcW w:w="2971" w:type="dxa"/>
            <w:shd w:val="clear" w:color="auto" w:fill="FEF2CC" w:themeFill="accent4" w:themeFillTint="33"/>
          </w:tcPr>
          <w:p w14:paraId="59229EE8">
            <w:pPr>
              <w:spacing w:after="0" w:line="240" w:lineRule="auto"/>
              <w:rPr>
                <w:rFonts w:ascii="Times New Roman" w:hAnsi="Times New Roman" w:cs="Times New Roman"/>
                <w:sz w:val="26"/>
                <w:szCs w:val="26"/>
              </w:rPr>
            </w:pPr>
            <w:r>
              <w:rPr>
                <w:rFonts w:ascii="Times New Roman" w:hAnsi="Times New Roman" w:cs="Times New Roman"/>
                <w:sz w:val="26"/>
                <w:szCs w:val="26"/>
              </w:rPr>
              <w:t>3% (2020)</w:t>
            </w:r>
          </w:p>
        </w:tc>
      </w:tr>
      <w:tr w14:paraId="52427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4" w:type="dxa"/>
            <w:shd w:val="clear" w:color="auto" w:fill="E2EFD9" w:themeFill="accent6" w:themeFillTint="33"/>
          </w:tcPr>
          <w:p w14:paraId="7C0FC780">
            <w:pPr>
              <w:spacing w:after="0" w:line="240" w:lineRule="auto"/>
              <w:rPr>
                <w:rFonts w:ascii="Times New Roman" w:hAnsi="Times New Roman" w:cs="Times New Roman"/>
                <w:sz w:val="26"/>
                <w:szCs w:val="26"/>
              </w:rPr>
            </w:pPr>
            <w:r>
              <w:rPr>
                <w:rFonts w:ascii="Times New Roman" w:hAnsi="Times New Roman" w:cs="Times New Roman"/>
                <w:sz w:val="26"/>
                <w:szCs w:val="26"/>
              </w:rPr>
              <w:t>Ожидаемый процент мирового энергобаланса (2030)</w:t>
            </w:r>
          </w:p>
        </w:tc>
        <w:tc>
          <w:tcPr>
            <w:tcW w:w="2971" w:type="dxa"/>
            <w:shd w:val="clear" w:color="auto" w:fill="E2EFD9" w:themeFill="accent6" w:themeFillTint="33"/>
          </w:tcPr>
          <w:p w14:paraId="03C1E241">
            <w:pPr>
              <w:spacing w:after="0" w:line="240" w:lineRule="auto"/>
              <w:rPr>
                <w:rFonts w:ascii="Times New Roman" w:hAnsi="Times New Roman" w:cs="Times New Roman"/>
                <w:sz w:val="26"/>
                <w:szCs w:val="26"/>
              </w:rPr>
            </w:pPr>
            <w:r>
              <w:rPr>
                <w:rFonts w:ascii="Times New Roman" w:hAnsi="Times New Roman" w:cs="Times New Roman"/>
                <w:sz w:val="26"/>
                <w:szCs w:val="26"/>
              </w:rPr>
              <w:t>10%</w:t>
            </w:r>
          </w:p>
        </w:tc>
      </w:tr>
    </w:tbl>
    <w:p w14:paraId="56E17FA1">
      <w:pPr>
        <w:tabs>
          <w:tab w:val="left" w:pos="369"/>
        </w:tabs>
        <w:spacing w:after="0" w:line="360" w:lineRule="auto"/>
        <w:ind w:firstLine="709"/>
        <w:jc w:val="both"/>
        <w:rPr>
          <w:rFonts w:ascii="Times New Roman" w:hAnsi="Times New Roman" w:eastAsia="Times New Roman" w:cs="Times New Roman"/>
          <w:b/>
          <w:sz w:val="28"/>
          <w:szCs w:val="28"/>
          <w:lang w:eastAsia="ru-RU"/>
        </w:rPr>
      </w:pPr>
    </w:p>
    <w:p w14:paraId="5999AFE4">
      <w:pPr>
        <w:tabs>
          <w:tab w:val="left" w:pos="369"/>
        </w:tabs>
        <w:spacing w:after="0" w:line="360" w:lineRule="auto"/>
        <w:ind w:firstLine="709"/>
        <w:jc w:val="both"/>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lang w:eastAsia="ru-RU"/>
        </w:rPr>
        <w:t>Примеры успешных внедрений</w:t>
      </w:r>
    </w:p>
    <w:p w14:paraId="1E63B31F">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Различные страны демонстрируют успешные примеры внедрения солнечных систем.</w:t>
      </w:r>
    </w:p>
    <w:p w14:paraId="76AC8E45">
      <w:pPr>
        <w:tabs>
          <w:tab w:val="left" w:pos="369"/>
        </w:tabs>
        <w:spacing w:after="0" w:line="240" w:lineRule="auto"/>
        <w:ind w:firstLine="709"/>
        <w:jc w:val="right"/>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5</w:t>
      </w:r>
    </w:p>
    <w:p w14:paraId="16464ECD">
      <w:pPr>
        <w:tabs>
          <w:tab w:val="left" w:pos="369"/>
        </w:tabs>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Примеры успешных внедрений</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984"/>
        <w:gridCol w:w="5806"/>
      </w:tblGrid>
      <w:tr w14:paraId="629E3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DEEAF6" w:themeFill="accent1" w:themeFillTint="33"/>
          </w:tcPr>
          <w:p w14:paraId="0BD23D47">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Страна</w:t>
            </w:r>
          </w:p>
        </w:tc>
        <w:tc>
          <w:tcPr>
            <w:tcW w:w="1984" w:type="dxa"/>
            <w:shd w:val="clear" w:color="auto" w:fill="DEEAF6" w:themeFill="accent1" w:themeFillTint="33"/>
          </w:tcPr>
          <w:p w14:paraId="6E983283">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Установленная мощность</w:t>
            </w:r>
          </w:p>
        </w:tc>
        <w:tc>
          <w:tcPr>
            <w:tcW w:w="5806" w:type="dxa"/>
            <w:shd w:val="clear" w:color="auto" w:fill="DEEAF6" w:themeFill="accent1" w:themeFillTint="33"/>
          </w:tcPr>
          <w:p w14:paraId="5822E553">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Программы поддержки и субсидирования</w:t>
            </w:r>
          </w:p>
        </w:tc>
      </w:tr>
      <w:tr w14:paraId="425AA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FEF2CC" w:themeFill="accent4" w:themeFillTint="33"/>
          </w:tcPr>
          <w:p w14:paraId="132A9FC5">
            <w:pPr>
              <w:spacing w:after="0" w:line="240" w:lineRule="auto"/>
              <w:rPr>
                <w:rFonts w:ascii="Times New Roman" w:hAnsi="Times New Roman" w:cs="Times New Roman"/>
                <w:sz w:val="26"/>
                <w:szCs w:val="26"/>
              </w:rPr>
            </w:pPr>
            <w:r>
              <w:rPr>
                <w:rFonts w:ascii="Times New Roman" w:hAnsi="Times New Roman" w:cs="Times New Roman"/>
                <w:sz w:val="26"/>
                <w:szCs w:val="26"/>
              </w:rPr>
              <w:t>Китай</w:t>
            </w:r>
          </w:p>
        </w:tc>
        <w:tc>
          <w:tcPr>
            <w:tcW w:w="1984" w:type="dxa"/>
            <w:shd w:val="clear" w:color="auto" w:fill="FEF2CC" w:themeFill="accent4" w:themeFillTint="33"/>
          </w:tcPr>
          <w:p w14:paraId="4C8D1975">
            <w:pPr>
              <w:spacing w:after="0" w:line="240" w:lineRule="auto"/>
              <w:rPr>
                <w:rFonts w:ascii="Times New Roman" w:hAnsi="Times New Roman" w:cs="Times New Roman"/>
                <w:sz w:val="26"/>
                <w:szCs w:val="26"/>
              </w:rPr>
            </w:pPr>
            <w:r>
              <w:rPr>
                <w:rFonts w:ascii="Times New Roman" w:hAnsi="Times New Roman" w:cs="Times New Roman"/>
                <w:sz w:val="26"/>
                <w:szCs w:val="26"/>
              </w:rPr>
              <w:t>250 ГВт</w:t>
            </w:r>
          </w:p>
        </w:tc>
        <w:tc>
          <w:tcPr>
            <w:tcW w:w="5806" w:type="dxa"/>
            <w:shd w:val="clear" w:color="auto" w:fill="FEF2CC" w:themeFill="accent4" w:themeFillTint="33"/>
          </w:tcPr>
          <w:p w14:paraId="27A3F793">
            <w:pPr>
              <w:spacing w:after="0" w:line="240" w:lineRule="auto"/>
              <w:rPr>
                <w:rFonts w:ascii="Times New Roman" w:hAnsi="Times New Roman" w:cs="Times New Roman"/>
                <w:sz w:val="26"/>
                <w:szCs w:val="26"/>
              </w:rPr>
            </w:pPr>
            <w:r>
              <w:rPr>
                <w:rFonts w:ascii="Times New Roman" w:hAnsi="Times New Roman" w:cs="Times New Roman"/>
                <w:sz w:val="26"/>
                <w:szCs w:val="26"/>
              </w:rPr>
              <w:t>Государственные программы, льготы и субсидии</w:t>
            </w:r>
          </w:p>
        </w:tc>
      </w:tr>
      <w:tr w14:paraId="66F9D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E2EFD9" w:themeFill="accent6" w:themeFillTint="33"/>
          </w:tcPr>
          <w:p w14:paraId="524E1EE3">
            <w:pPr>
              <w:spacing w:after="0" w:line="240" w:lineRule="auto"/>
              <w:rPr>
                <w:rFonts w:ascii="Times New Roman" w:hAnsi="Times New Roman" w:cs="Times New Roman"/>
                <w:sz w:val="26"/>
                <w:szCs w:val="26"/>
              </w:rPr>
            </w:pPr>
            <w:r>
              <w:rPr>
                <w:rFonts w:ascii="Times New Roman" w:hAnsi="Times New Roman" w:cs="Times New Roman"/>
                <w:sz w:val="26"/>
                <w:szCs w:val="26"/>
              </w:rPr>
              <w:t>Германия</w:t>
            </w:r>
          </w:p>
        </w:tc>
        <w:tc>
          <w:tcPr>
            <w:tcW w:w="1984" w:type="dxa"/>
            <w:shd w:val="clear" w:color="auto" w:fill="E2EFD9" w:themeFill="accent6" w:themeFillTint="33"/>
          </w:tcPr>
          <w:p w14:paraId="4B19AA71">
            <w:pPr>
              <w:spacing w:after="0" w:line="240" w:lineRule="auto"/>
              <w:rPr>
                <w:rFonts w:ascii="Times New Roman" w:hAnsi="Times New Roman" w:cs="Times New Roman"/>
                <w:sz w:val="26"/>
                <w:szCs w:val="26"/>
              </w:rPr>
            </w:pPr>
            <w:r>
              <w:rPr>
                <w:rFonts w:ascii="Times New Roman" w:hAnsi="Times New Roman" w:cs="Times New Roman"/>
                <w:sz w:val="26"/>
                <w:szCs w:val="26"/>
              </w:rPr>
              <w:t>50 ГВт</w:t>
            </w:r>
          </w:p>
        </w:tc>
        <w:tc>
          <w:tcPr>
            <w:tcW w:w="5806" w:type="dxa"/>
            <w:shd w:val="clear" w:color="auto" w:fill="E2EFD9" w:themeFill="accent6" w:themeFillTint="33"/>
          </w:tcPr>
          <w:p w14:paraId="3D738765">
            <w:pPr>
              <w:spacing w:after="0" w:line="240" w:lineRule="auto"/>
              <w:rPr>
                <w:rFonts w:ascii="Times New Roman" w:hAnsi="Times New Roman" w:cs="Times New Roman"/>
                <w:sz w:val="26"/>
                <w:szCs w:val="26"/>
              </w:rPr>
            </w:pPr>
            <w:r>
              <w:rPr>
                <w:rFonts w:ascii="Times New Roman" w:hAnsi="Times New Roman" w:cs="Times New Roman"/>
                <w:sz w:val="26"/>
                <w:szCs w:val="26"/>
              </w:rPr>
              <w:t>Масштабные государственные программы поддержки</w:t>
            </w:r>
          </w:p>
        </w:tc>
      </w:tr>
      <w:tr w14:paraId="7B64D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FEF2CC" w:themeFill="accent4" w:themeFillTint="33"/>
          </w:tcPr>
          <w:p w14:paraId="1C0F61A7">
            <w:pPr>
              <w:spacing w:after="0" w:line="240" w:lineRule="auto"/>
              <w:rPr>
                <w:rFonts w:ascii="Times New Roman" w:hAnsi="Times New Roman" w:cs="Times New Roman"/>
                <w:sz w:val="26"/>
                <w:szCs w:val="26"/>
              </w:rPr>
            </w:pPr>
            <w:r>
              <w:rPr>
                <w:rFonts w:ascii="Times New Roman" w:hAnsi="Times New Roman" w:cs="Times New Roman"/>
                <w:sz w:val="26"/>
                <w:szCs w:val="26"/>
              </w:rPr>
              <w:t>США</w:t>
            </w:r>
          </w:p>
        </w:tc>
        <w:tc>
          <w:tcPr>
            <w:tcW w:w="1984" w:type="dxa"/>
            <w:shd w:val="clear" w:color="auto" w:fill="FEF2CC" w:themeFill="accent4" w:themeFillTint="33"/>
          </w:tcPr>
          <w:p w14:paraId="43FFC614">
            <w:pPr>
              <w:spacing w:after="0" w:line="240" w:lineRule="auto"/>
              <w:rPr>
                <w:rFonts w:ascii="Times New Roman" w:hAnsi="Times New Roman" w:cs="Times New Roman"/>
                <w:sz w:val="26"/>
                <w:szCs w:val="26"/>
              </w:rPr>
            </w:pPr>
            <w:r>
              <w:rPr>
                <w:rFonts w:ascii="Times New Roman" w:hAnsi="Times New Roman" w:cs="Times New Roman"/>
                <w:sz w:val="26"/>
                <w:szCs w:val="26"/>
              </w:rPr>
              <w:t>90 ГВт</w:t>
            </w:r>
          </w:p>
        </w:tc>
        <w:tc>
          <w:tcPr>
            <w:tcW w:w="5806" w:type="dxa"/>
            <w:shd w:val="clear" w:color="auto" w:fill="FEF2CC" w:themeFill="accent4" w:themeFillTint="33"/>
          </w:tcPr>
          <w:p w14:paraId="18539AA5">
            <w:pPr>
              <w:spacing w:after="0" w:line="240" w:lineRule="auto"/>
              <w:rPr>
                <w:rFonts w:ascii="Times New Roman" w:hAnsi="Times New Roman" w:cs="Times New Roman"/>
                <w:sz w:val="26"/>
                <w:szCs w:val="26"/>
              </w:rPr>
            </w:pPr>
            <w:r>
              <w:rPr>
                <w:rFonts w:ascii="Times New Roman" w:hAnsi="Times New Roman" w:cs="Times New Roman"/>
                <w:sz w:val="26"/>
                <w:szCs w:val="26"/>
              </w:rPr>
              <w:t>Развитие крупных солнечных ферм и домашних систем</w:t>
            </w:r>
          </w:p>
        </w:tc>
      </w:tr>
      <w:tr w14:paraId="36FBA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E2EFD9" w:themeFill="accent6" w:themeFillTint="33"/>
          </w:tcPr>
          <w:p w14:paraId="3FB2B199">
            <w:pPr>
              <w:spacing w:after="0" w:line="240" w:lineRule="auto"/>
              <w:rPr>
                <w:rFonts w:ascii="Times New Roman" w:hAnsi="Times New Roman" w:cs="Times New Roman"/>
                <w:sz w:val="26"/>
                <w:szCs w:val="26"/>
              </w:rPr>
            </w:pPr>
            <w:r>
              <w:rPr>
                <w:rFonts w:ascii="Times New Roman" w:hAnsi="Times New Roman" w:cs="Times New Roman"/>
                <w:sz w:val="26"/>
                <w:szCs w:val="26"/>
              </w:rPr>
              <w:t>Индия</w:t>
            </w:r>
          </w:p>
        </w:tc>
        <w:tc>
          <w:tcPr>
            <w:tcW w:w="1984" w:type="dxa"/>
            <w:shd w:val="clear" w:color="auto" w:fill="E2EFD9" w:themeFill="accent6" w:themeFillTint="33"/>
          </w:tcPr>
          <w:p w14:paraId="4A502EAD">
            <w:pPr>
              <w:spacing w:after="0" w:line="240" w:lineRule="auto"/>
              <w:rPr>
                <w:rFonts w:ascii="Times New Roman" w:hAnsi="Times New Roman" w:cs="Times New Roman"/>
                <w:sz w:val="26"/>
                <w:szCs w:val="26"/>
              </w:rPr>
            </w:pPr>
            <w:r>
              <w:rPr>
                <w:rFonts w:ascii="Times New Roman" w:hAnsi="Times New Roman" w:cs="Times New Roman"/>
                <w:sz w:val="26"/>
                <w:szCs w:val="26"/>
              </w:rPr>
              <w:t>40 ГВт</w:t>
            </w:r>
          </w:p>
        </w:tc>
        <w:tc>
          <w:tcPr>
            <w:tcW w:w="5806" w:type="dxa"/>
            <w:shd w:val="clear" w:color="auto" w:fill="E2EFD9" w:themeFill="accent6" w:themeFillTint="33"/>
          </w:tcPr>
          <w:p w14:paraId="7370E8AA">
            <w:pPr>
              <w:spacing w:after="0" w:line="240" w:lineRule="auto"/>
              <w:rPr>
                <w:rFonts w:ascii="Times New Roman" w:hAnsi="Times New Roman" w:cs="Times New Roman"/>
                <w:sz w:val="26"/>
                <w:szCs w:val="26"/>
              </w:rPr>
            </w:pPr>
            <w:r>
              <w:rPr>
                <w:rFonts w:ascii="Times New Roman" w:hAnsi="Times New Roman" w:cs="Times New Roman"/>
                <w:sz w:val="26"/>
                <w:szCs w:val="26"/>
              </w:rPr>
              <w:t>Национальные цели и субсидии, программы по стимулированию использования солнечной энергии</w:t>
            </w:r>
          </w:p>
        </w:tc>
      </w:tr>
      <w:tr w14:paraId="1327C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FEF2CC" w:themeFill="accent4" w:themeFillTint="33"/>
          </w:tcPr>
          <w:p w14:paraId="1A11FBEF">
            <w:pPr>
              <w:spacing w:after="0" w:line="240" w:lineRule="auto"/>
              <w:rPr>
                <w:rFonts w:ascii="Times New Roman" w:hAnsi="Times New Roman" w:cs="Times New Roman"/>
                <w:sz w:val="26"/>
                <w:szCs w:val="26"/>
              </w:rPr>
            </w:pPr>
            <w:r>
              <w:rPr>
                <w:rFonts w:ascii="Times New Roman" w:hAnsi="Times New Roman" w:cs="Times New Roman"/>
                <w:sz w:val="26"/>
                <w:szCs w:val="26"/>
              </w:rPr>
              <w:t>Япония</w:t>
            </w:r>
          </w:p>
        </w:tc>
        <w:tc>
          <w:tcPr>
            <w:tcW w:w="1984" w:type="dxa"/>
            <w:shd w:val="clear" w:color="auto" w:fill="FEF2CC" w:themeFill="accent4" w:themeFillTint="33"/>
          </w:tcPr>
          <w:p w14:paraId="76B9E340">
            <w:pPr>
              <w:spacing w:after="0" w:line="240" w:lineRule="auto"/>
              <w:rPr>
                <w:rFonts w:ascii="Times New Roman" w:hAnsi="Times New Roman" w:cs="Times New Roman"/>
                <w:sz w:val="26"/>
                <w:szCs w:val="26"/>
              </w:rPr>
            </w:pPr>
            <w:r>
              <w:rPr>
                <w:rFonts w:ascii="Times New Roman" w:hAnsi="Times New Roman" w:cs="Times New Roman"/>
                <w:sz w:val="26"/>
                <w:szCs w:val="26"/>
              </w:rPr>
              <w:t>63 ГВт</w:t>
            </w:r>
          </w:p>
        </w:tc>
        <w:tc>
          <w:tcPr>
            <w:tcW w:w="5806" w:type="dxa"/>
            <w:shd w:val="clear" w:color="auto" w:fill="FEF2CC" w:themeFill="accent4" w:themeFillTint="33"/>
          </w:tcPr>
          <w:p w14:paraId="227695F5">
            <w:pPr>
              <w:spacing w:after="0" w:line="240" w:lineRule="auto"/>
              <w:rPr>
                <w:rFonts w:ascii="Times New Roman" w:hAnsi="Times New Roman" w:cs="Times New Roman"/>
                <w:sz w:val="26"/>
                <w:szCs w:val="26"/>
              </w:rPr>
            </w:pPr>
            <w:r>
              <w:rPr>
                <w:rFonts w:ascii="Times New Roman" w:hAnsi="Times New Roman" w:cs="Times New Roman"/>
                <w:sz w:val="26"/>
                <w:szCs w:val="26"/>
              </w:rPr>
              <w:t>Программы поощрения установок солнечных панелей на крышах жилых домов</w:t>
            </w:r>
          </w:p>
        </w:tc>
      </w:tr>
    </w:tbl>
    <w:p w14:paraId="77D447DC">
      <w:pPr>
        <w:tabs>
          <w:tab w:val="left" w:pos="369"/>
        </w:tabs>
        <w:spacing w:after="0" w:line="360" w:lineRule="auto"/>
        <w:ind w:firstLine="709"/>
        <w:jc w:val="both"/>
        <w:rPr>
          <w:rFonts w:ascii="Times New Roman" w:hAnsi="Times New Roman" w:eastAsia="Times New Roman" w:cs="Times New Roman"/>
          <w:sz w:val="28"/>
          <w:szCs w:val="28"/>
          <w:lang w:eastAsia="ru-RU"/>
        </w:rPr>
      </w:pPr>
    </w:p>
    <w:p w14:paraId="2C860768">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Эффективность солнечных систем зависит от множества факторов, включая качество панелей, климатические условия, углы наклона и ориентацию, системы хранения энергии и многие другие. Современные технологии производства и установки солнечных панелей обеспечивают высокую производительность и экономическую выгоду, делая солнечную энергию конкурентоспособной альтернативой традиционным источникам энергии.</w:t>
      </w:r>
    </w:p>
    <w:p w14:paraId="6DF5E5A9">
      <w:pPr>
        <w:tabs>
          <w:tab w:val="left" w:pos="369"/>
        </w:tabs>
        <w:spacing w:after="0"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Глобальные тенденции показывают устойчивый рост и развитие солнечной энергетики, что подтверждается увеличением установленных мощностей, снижением стоимости производства и активными инвестициями в этот сектор. Успешные примеры внедрения солнечных систем в различных странах демонстрируют потенциал и эффективность этой технологии в борьбе с изменением климата и обеспечении устойчивого развития энергетики.</w:t>
      </w:r>
    </w:p>
    <w:p w14:paraId="20CF9B87">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Контрольные вопросы:</w:t>
      </w:r>
    </w:p>
    <w:p w14:paraId="39FBE3FD">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1. </w:t>
      </w:r>
      <w:r>
        <w:rPr>
          <w:rFonts w:ascii="Times New Roman" w:hAnsi="Times New Roman" w:eastAsia="Times New Roman" w:cs="Times New Roman"/>
          <w:sz w:val="28"/>
          <w:szCs w:val="28"/>
          <w:lang w:eastAsia="ru-RU"/>
        </w:rPr>
        <w:t>Какие типы солнечных панелей существуют, и какова их средняя эффективность?</w:t>
      </w:r>
    </w:p>
    <w:p w14:paraId="4ACD1016">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2. </w:t>
      </w:r>
      <w:r>
        <w:rPr>
          <w:rFonts w:ascii="Times New Roman" w:hAnsi="Times New Roman" w:eastAsia="Times New Roman" w:cs="Times New Roman"/>
          <w:sz w:val="28"/>
          <w:szCs w:val="28"/>
          <w:lang w:eastAsia="ru-RU"/>
        </w:rPr>
        <w:t>Какие факторы влияют на эффективность солнечных систем?</w:t>
      </w:r>
    </w:p>
    <w:p w14:paraId="383E03BB">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3. </w:t>
      </w:r>
      <w:r>
        <w:rPr>
          <w:rFonts w:ascii="Times New Roman" w:hAnsi="Times New Roman" w:eastAsia="Times New Roman" w:cs="Times New Roman"/>
          <w:sz w:val="28"/>
          <w:szCs w:val="28"/>
          <w:lang w:eastAsia="ru-RU"/>
        </w:rPr>
        <w:t>Как монокристаллические панели отличаются от поликристаллических по эффективности и стоимости производства?</w:t>
      </w:r>
    </w:p>
    <w:p w14:paraId="1FA9A31B">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4. </w:t>
      </w:r>
      <w:r>
        <w:rPr>
          <w:rFonts w:ascii="Times New Roman" w:hAnsi="Times New Roman" w:eastAsia="Times New Roman" w:cs="Times New Roman"/>
          <w:sz w:val="28"/>
          <w:szCs w:val="28"/>
          <w:lang w:eastAsia="ru-RU"/>
        </w:rPr>
        <w:t>Почему углы наклона и ориентация панелей важны для их эффективности?</w:t>
      </w:r>
    </w:p>
    <w:p w14:paraId="679BA147">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5. </w:t>
      </w:r>
      <w:r>
        <w:rPr>
          <w:rFonts w:ascii="Times New Roman" w:hAnsi="Times New Roman" w:eastAsia="Times New Roman" w:cs="Times New Roman"/>
          <w:sz w:val="28"/>
          <w:szCs w:val="28"/>
          <w:lang w:eastAsia="ru-RU"/>
        </w:rPr>
        <w:t>Как высокие температуры влияют на производительность кремниевых солнечных панелей?</w:t>
      </w:r>
    </w:p>
    <w:p w14:paraId="6911F60A">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6. </w:t>
      </w:r>
      <w:r>
        <w:rPr>
          <w:rFonts w:ascii="Times New Roman" w:hAnsi="Times New Roman" w:eastAsia="Times New Roman" w:cs="Times New Roman"/>
          <w:sz w:val="28"/>
          <w:szCs w:val="28"/>
          <w:lang w:eastAsia="ru-RU"/>
        </w:rPr>
        <w:t>Какие преимущества имеют солнечные системы перед традиционными источниками энергии?</w:t>
      </w:r>
    </w:p>
    <w:p w14:paraId="4EB89E2D">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7. </w:t>
      </w:r>
      <w:r>
        <w:rPr>
          <w:rFonts w:ascii="Times New Roman" w:hAnsi="Times New Roman" w:eastAsia="Times New Roman" w:cs="Times New Roman"/>
          <w:sz w:val="28"/>
          <w:szCs w:val="28"/>
          <w:lang w:eastAsia="ru-RU"/>
        </w:rPr>
        <w:t>Как использование систем хранения энергии, таких как аккумуляторы, повышает общую эффективность солнечных систем?</w:t>
      </w:r>
    </w:p>
    <w:p w14:paraId="5322C32D">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8. </w:t>
      </w:r>
      <w:r>
        <w:rPr>
          <w:rFonts w:ascii="Times New Roman" w:hAnsi="Times New Roman" w:eastAsia="Times New Roman" w:cs="Times New Roman"/>
          <w:sz w:val="28"/>
          <w:szCs w:val="28"/>
          <w:lang w:eastAsia="ru-RU"/>
        </w:rPr>
        <w:t>Какие глобальные тенденции и статистические показатели наблюдаются в области солнечной энергетики?</w:t>
      </w:r>
    </w:p>
    <w:p w14:paraId="2DCB31C2">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9. </w:t>
      </w:r>
      <w:r>
        <w:rPr>
          <w:rFonts w:ascii="Times New Roman" w:hAnsi="Times New Roman" w:eastAsia="Times New Roman" w:cs="Times New Roman"/>
          <w:sz w:val="28"/>
          <w:szCs w:val="28"/>
          <w:lang w:eastAsia="ru-RU"/>
        </w:rPr>
        <w:t>Приведите примеры успешного внедрения солнечных систем в различных странах.</w:t>
      </w:r>
    </w:p>
    <w:p w14:paraId="1ECEA394">
      <w:pPr>
        <w:tabs>
          <w:tab w:val="left" w:pos="369"/>
        </w:tabs>
        <w:spacing w:after="0" w:line="36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10. </w:t>
      </w:r>
      <w:r>
        <w:rPr>
          <w:rFonts w:ascii="Times New Roman" w:hAnsi="Times New Roman" w:eastAsia="Times New Roman" w:cs="Times New Roman"/>
          <w:sz w:val="28"/>
          <w:szCs w:val="28"/>
          <w:lang w:eastAsia="ru-RU"/>
        </w:rPr>
        <w:t>Как правительственные программы и субсидии способствуют развитию солнечной энергетики?</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85531E"/>
    <w:multiLevelType w:val="multilevel"/>
    <w:tmpl w:val="1585531E"/>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28"/>
        <w:szCs w:val="28"/>
        <w:u w:val="none"/>
        <w:lang w:val="ru-RU" w:eastAsia="ru-RU" w:bidi="ru-RU"/>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173"/>
    <w:rsid w:val="00091C20"/>
    <w:rsid w:val="001216FB"/>
    <w:rsid w:val="00166D28"/>
    <w:rsid w:val="0018126C"/>
    <w:rsid w:val="00186D9B"/>
    <w:rsid w:val="00217452"/>
    <w:rsid w:val="00233A3A"/>
    <w:rsid w:val="002F097E"/>
    <w:rsid w:val="0036176E"/>
    <w:rsid w:val="003D0B08"/>
    <w:rsid w:val="00491CA9"/>
    <w:rsid w:val="004F5D0E"/>
    <w:rsid w:val="005031E8"/>
    <w:rsid w:val="00557621"/>
    <w:rsid w:val="006057C0"/>
    <w:rsid w:val="006B191F"/>
    <w:rsid w:val="007C58C2"/>
    <w:rsid w:val="007C7EE3"/>
    <w:rsid w:val="007F00C1"/>
    <w:rsid w:val="00814C3B"/>
    <w:rsid w:val="008C4942"/>
    <w:rsid w:val="009771C2"/>
    <w:rsid w:val="00AD059F"/>
    <w:rsid w:val="00C17CCA"/>
    <w:rsid w:val="00CC4173"/>
    <w:rsid w:val="00D02773"/>
    <w:rsid w:val="00D35785"/>
    <w:rsid w:val="00E945CC"/>
    <w:rsid w:val="00EF549D"/>
    <w:rsid w:val="00F61EE6"/>
    <w:rsid w:val="00FA3A98"/>
    <w:rsid w:val="2DF04DF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oleObject" Target="embeddings/oleObject1.bin"/><Relationship Id="rId17" Type="http://schemas.openxmlformats.org/officeDocument/2006/relationships/image" Target="media/image12.jpeg"/><Relationship Id="rId16" Type="http://schemas.openxmlformats.org/officeDocument/2006/relationships/image" Target="media/image11.GIF"/><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microsoft.com/office/2007/relationships/hdphoto" Target="media/image5.wdp"/><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6441</Words>
  <Characters>36715</Characters>
  <Lines>305</Lines>
  <Paragraphs>86</Paragraphs>
  <TotalTime>313</TotalTime>
  <ScaleCrop>false</ScaleCrop>
  <LinksUpToDate>false</LinksUpToDate>
  <CharactersWithSpaces>43070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2024-07-17T16:44:00Z</dcterms:created>
  <dc:creator>Учетная запись Майкрософт</dc:creator>
  <cp:lastModifiedBy>Asdian Katana</cp:lastModifiedBy>
  <dcterms:modified xsi:type="dcterms:W3CDTF">2025-05-05T08:08:39Z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CC7939E192274DCCB5D39C1655EFE686_13</vt:lpwstr>
  </property>
</Properties>
</file>