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D2CD8F">
      <w:pPr>
        <w:spacing w:line="360" w:lineRule="auto"/>
        <w:jc w:val="center"/>
        <w:rPr>
          <w:b/>
          <w:sz w:val="28"/>
          <w:szCs w:val="28"/>
        </w:rPr>
      </w:pPr>
      <w:r>
        <w:rPr>
          <w:b/>
          <w:sz w:val="28"/>
          <w:szCs w:val="28"/>
        </w:rPr>
        <w:t>Практическая работа № 1.</w:t>
      </w:r>
    </w:p>
    <w:p w14:paraId="5D249C72">
      <w:pPr>
        <w:spacing w:line="360" w:lineRule="auto"/>
        <w:jc w:val="center"/>
        <w:rPr>
          <w:b/>
          <w:sz w:val="28"/>
          <w:szCs w:val="28"/>
        </w:rPr>
      </w:pPr>
      <w:r>
        <w:rPr>
          <w:b/>
          <w:sz w:val="28"/>
          <w:szCs w:val="28"/>
        </w:rPr>
        <w:t xml:space="preserve">Законы и нормативные документы Республики Узбекистан об использовании электрической энергии. </w:t>
      </w:r>
    </w:p>
    <w:p w14:paraId="6092B5C7">
      <w:pPr>
        <w:spacing w:line="360" w:lineRule="auto"/>
        <w:jc w:val="center"/>
        <w:rPr>
          <w:b/>
          <w:sz w:val="28"/>
          <w:szCs w:val="28"/>
        </w:rPr>
      </w:pPr>
      <w:r>
        <w:rPr>
          <w:b/>
          <w:sz w:val="28"/>
          <w:szCs w:val="28"/>
        </w:rPr>
        <w:t>Концепция развития энергетической отрасли Республики Узбекистан.</w:t>
      </w:r>
    </w:p>
    <w:p w14:paraId="1665F605">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Цель работы</w:t>
      </w:r>
    </w:p>
    <w:p w14:paraId="609BE825">
      <w:pPr>
        <w:autoSpaceDE w:val="0"/>
        <w:autoSpaceDN w:val="0"/>
        <w:spacing w:line="360" w:lineRule="auto"/>
        <w:ind w:right="-1" w:firstLine="709"/>
        <w:jc w:val="both"/>
        <w:rPr>
          <w:sz w:val="28"/>
          <w:szCs w:val="28"/>
        </w:rPr>
      </w:pPr>
      <w:r>
        <w:rPr>
          <w:sz w:val="28"/>
          <w:szCs w:val="28"/>
        </w:rPr>
        <w:t>Исследование и классификация сетей электросвязи с учетом их разнообразия и архитектурных особенностей, а также анализ принципов построения энергетических сетей, с учетом выявления оптимальных подходов к организации, управлению и обеспечению эффективности, разработка рекомендации для их дальнейшего совершенствования.</w:t>
      </w:r>
    </w:p>
    <w:p w14:paraId="5825B479">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Теоретические сведения</w:t>
      </w:r>
    </w:p>
    <w:p w14:paraId="546EF3B9">
      <w:pPr>
        <w:spacing w:line="360" w:lineRule="auto"/>
        <w:ind w:firstLine="709"/>
        <w:jc w:val="center"/>
        <w:rPr>
          <w:b/>
          <w:sz w:val="28"/>
          <w:szCs w:val="28"/>
        </w:rPr>
      </w:pPr>
      <w:r>
        <w:rPr>
          <w:b/>
          <w:sz w:val="28"/>
          <w:szCs w:val="28"/>
        </w:rPr>
        <w:t>Перспективы развития энергетической отрасли Республики Узбекистан.</w:t>
      </w:r>
    </w:p>
    <w:p w14:paraId="3F88E656">
      <w:pPr>
        <w:spacing w:line="360" w:lineRule="auto"/>
        <w:ind w:firstLine="709"/>
        <w:jc w:val="both"/>
        <w:rPr>
          <w:sz w:val="28"/>
          <w:szCs w:val="28"/>
        </w:rPr>
      </w:pPr>
      <w:r>
        <w:rPr>
          <w:sz w:val="28"/>
          <w:szCs w:val="28"/>
        </w:rPr>
        <w:t>За последние 40 лет значительно повысился спрос на энергию. В этот период добыча органического топлива превысило объемы его добычи за всю историю человечества. В настоящее время использование природного топлива в мире в эквиваленте составляет 12 млрд.тонн нефти или примерно 2 тонны на человека.</w:t>
      </w:r>
    </w:p>
    <w:p w14:paraId="01F93AD3">
      <w:pPr>
        <w:spacing w:line="360" w:lineRule="auto"/>
        <w:ind w:firstLine="709"/>
        <w:jc w:val="both"/>
        <w:rPr>
          <w:sz w:val="28"/>
          <w:szCs w:val="28"/>
        </w:rPr>
      </w:pPr>
      <w:r>
        <w:rPr>
          <w:sz w:val="28"/>
          <w:szCs w:val="28"/>
        </w:rPr>
        <w:t>Основными источниками энергии все еще являются газ, уголь, уран. Если их использование будет продолжаться в таких же темпах, запасов нефти хватит на 45-50 лет, природного газа на 70-75 лет, каменного угля на 165-170 лет, бурого угля на 450-500 лет.</w:t>
      </w:r>
    </w:p>
    <w:p w14:paraId="5152725D">
      <w:pPr>
        <w:spacing w:line="360" w:lineRule="auto"/>
        <w:ind w:firstLine="709"/>
        <w:jc w:val="both"/>
        <w:rPr>
          <w:sz w:val="28"/>
          <w:szCs w:val="28"/>
        </w:rPr>
      </w:pPr>
      <w:r>
        <w:rPr>
          <w:sz w:val="28"/>
          <w:szCs w:val="28"/>
        </w:rPr>
        <w:t>Альтернативой использованию ограниченных углеводородных энергетических ресурсов становится возобновляемая энергетика.  Широкое внедрение экологически чистых возобновляемых источников энергии (ВИЭ) в энергетический баланс требуется и с точки зрения уменьшения техногенного воздействия на окружающую среду. Кроме того, ВИЭ является важным фактором решения социальных проблем, в том числе обеспечения занятости населения на местах.</w:t>
      </w:r>
    </w:p>
    <w:p w14:paraId="62FA3F17">
      <w:pPr>
        <w:spacing w:line="360" w:lineRule="auto"/>
        <w:ind w:firstLine="709"/>
        <w:jc w:val="both"/>
        <w:rPr>
          <w:sz w:val="28"/>
          <w:szCs w:val="28"/>
        </w:rPr>
      </w:pPr>
      <w:r>
        <w:rPr>
          <w:sz w:val="28"/>
          <w:szCs w:val="28"/>
        </w:rPr>
        <w:t>В связи с этим, большинство стран мира поставили перед собой цели увеличения объемов использования и внедрения альтернативных возобновляемых источников энергии из энергопотока природной среды. К ним относятся солнечная, ветровая, гидро, геотермальная энергия, а также биогаз, получаемый из промышленных, сельскохозяйственных и бытовых отходов.</w:t>
      </w:r>
    </w:p>
    <w:p w14:paraId="35533604">
      <w:pPr>
        <w:spacing w:line="360" w:lineRule="auto"/>
        <w:ind w:firstLine="709"/>
        <w:jc w:val="both"/>
        <w:rPr>
          <w:sz w:val="28"/>
          <w:szCs w:val="28"/>
        </w:rPr>
      </w:pPr>
      <w:r>
        <w:rPr>
          <w:sz w:val="28"/>
          <w:szCs w:val="28"/>
        </w:rPr>
        <w:t>В итоговом документе Всемирного Саммита Рио+20, проходившего в Бразилии в июне 2015 года закреплена концепция "зеленой экономики" как инструмента устойчивого развития. Одним же из важных секторов “зеленой экономики”, имеющий высокий потенциал “озеленения”, является возобновляемая энергетика. Это связано с тем, что энергетические услуги оказывают воздействие на производительность труда, здравоохранение, образование, изменение климата, безопасность продовольствия и водных ресурсов, а также услуги связи.</w:t>
      </w:r>
    </w:p>
    <w:p w14:paraId="544BF711">
      <w:pPr>
        <w:spacing w:line="360" w:lineRule="auto"/>
        <w:ind w:firstLine="709"/>
        <w:jc w:val="both"/>
        <w:rPr>
          <w:sz w:val="28"/>
          <w:szCs w:val="28"/>
        </w:rPr>
      </w:pPr>
      <w:r>
        <w:rPr>
          <w:sz w:val="28"/>
          <w:szCs w:val="28"/>
        </w:rPr>
        <w:t>Отсутствие доступа к экологически чистым, недорогим и надежным источникам энергии сдерживает развитие человеческого потенциала, социальное и экономическое развитие и является основным препятствием на пути достижения целей в области развития, сформулированных в Декларации тысячелетия.</w:t>
      </w:r>
    </w:p>
    <w:p w14:paraId="01522930">
      <w:pPr>
        <w:spacing w:line="360" w:lineRule="auto"/>
        <w:ind w:firstLine="709"/>
        <w:jc w:val="both"/>
        <w:rPr>
          <w:sz w:val="28"/>
          <w:szCs w:val="28"/>
        </w:rPr>
      </w:pPr>
      <w:r>
        <w:rPr>
          <w:sz w:val="28"/>
          <w:szCs w:val="28"/>
        </w:rPr>
        <w:t>Узбекистан в числе тех государств, которые достигли энергетической независимости. В стране источниками выработки электроэнергии являются природный газ и нефтепродукты. Учитывая важное значение ВИЭ в экономии углеводородных ресурсов, обеспечении энергетической безопасности страны, а также в обеспечении электроэнергией, теплоснабжением и питьевой водой населения, проживающего в отдаленных от центрального энергоснабжения населенных пунктах, горных и степных районах, а также сезонных рабочих и членов экспедиций в республике все большее внимание придаётся развитию этого направления.</w:t>
      </w:r>
    </w:p>
    <w:p w14:paraId="68107D77">
      <w:pPr>
        <w:spacing w:line="360" w:lineRule="auto"/>
        <w:jc w:val="both"/>
        <w:rPr>
          <w:sz w:val="28"/>
          <w:szCs w:val="28"/>
        </w:rPr>
      </w:pPr>
    </w:p>
    <w:p w14:paraId="4802BA07">
      <w:pPr>
        <w:spacing w:line="360" w:lineRule="auto"/>
        <w:ind w:firstLine="709"/>
        <w:jc w:val="both"/>
        <w:rPr>
          <w:sz w:val="28"/>
          <w:szCs w:val="28"/>
        </w:rPr>
      </w:pPr>
      <w:r>
        <w:rPr>
          <w:sz w:val="28"/>
          <w:szCs w:val="28"/>
        </w:rPr>
        <w:t>Климатические и географические условия Узбекистана делают весьма перспективным будущее использования ВИЭ. Особенно это касается солнечной энергии. Потенциал солнечной энергии Узбекистана оценивается в 50 973 млн. тонн нефтяного эквивалента (т.н.э.), что составляет 99,7% всех исследованных до настоящего времени ВИЭ в республике.</w:t>
      </w:r>
    </w:p>
    <w:p w14:paraId="2BA78319">
      <w:pPr>
        <w:spacing w:line="360" w:lineRule="auto"/>
        <w:ind w:firstLine="709"/>
        <w:jc w:val="both"/>
        <w:rPr>
          <w:sz w:val="28"/>
          <w:szCs w:val="28"/>
        </w:rPr>
      </w:pPr>
      <w:r>
        <w:rPr>
          <w:sz w:val="28"/>
          <w:szCs w:val="28"/>
        </w:rPr>
        <w:t>В Узбекистане солнечное время в году достигает на севере 2000 часов, на юге – более 3000. В течение суток солнечное излучение колеблется в пределах 7-10 часов, на севере годовое солнечное излучение составляет 4800 МДж /м2, на юге - 6500 МДж /м2.</w:t>
      </w:r>
    </w:p>
    <w:p w14:paraId="545D323E">
      <w:pPr>
        <w:spacing w:line="360" w:lineRule="auto"/>
        <w:ind w:firstLine="709"/>
        <w:jc w:val="both"/>
        <w:rPr>
          <w:sz w:val="28"/>
          <w:szCs w:val="28"/>
        </w:rPr>
      </w:pPr>
      <w:r>
        <w:rPr>
          <w:sz w:val="28"/>
          <w:szCs w:val="28"/>
        </w:rPr>
        <w:t>Одним из используемых в мире ВИЭ является энергия ветра. Потенциал энергии ветра в Узбекистане оценивается в 2,2 млн. т.н.э. В соответствии географическим расположением Узбекистана, ветряные потоки имеют сезонный характер. На равнинах среднегодовая скорость ветра равна 2,0-5,0 м/сек</w:t>
      </w:r>
    </w:p>
    <w:p w14:paraId="165D5E66">
      <w:pPr>
        <w:spacing w:line="360" w:lineRule="auto"/>
        <w:ind w:firstLine="709"/>
        <w:jc w:val="both"/>
        <w:rPr>
          <w:sz w:val="28"/>
          <w:szCs w:val="28"/>
        </w:rPr>
      </w:pPr>
      <w:r>
        <w:rPr>
          <w:sz w:val="28"/>
          <w:szCs w:val="28"/>
        </w:rPr>
        <w:t>Многолетние исследования позволили выявить на территории Узбекистана 8 бассейнов гидротермальных ресурсов. Валовый потенциал геотермальных ресурсов оценивается в 244,2 тыс. тонн условного топлива, а технический - пока не определен.</w:t>
      </w:r>
    </w:p>
    <w:p w14:paraId="16FB3BC9">
      <w:pPr>
        <w:spacing w:line="360" w:lineRule="auto"/>
        <w:ind w:firstLine="709"/>
        <w:jc w:val="both"/>
        <w:rPr>
          <w:sz w:val="28"/>
          <w:szCs w:val="28"/>
        </w:rPr>
      </w:pPr>
      <w:r>
        <w:rPr>
          <w:sz w:val="28"/>
          <w:szCs w:val="28"/>
        </w:rPr>
        <w:t>Самый большой потенциал геотермальных вод приходится на Ферганскую долину (в Наманганская области - 42,6 тыс.тонн условного топлива) и на Бухарскую область - 81,2 тыс.тонн условного топлива.</w:t>
      </w:r>
    </w:p>
    <w:p w14:paraId="3F31417F">
      <w:pPr>
        <w:spacing w:line="360" w:lineRule="auto"/>
        <w:ind w:firstLine="709"/>
        <w:jc w:val="both"/>
        <w:rPr>
          <w:sz w:val="28"/>
          <w:szCs w:val="28"/>
        </w:rPr>
      </w:pPr>
      <w:r>
        <w:rPr>
          <w:sz w:val="28"/>
          <w:szCs w:val="28"/>
        </w:rPr>
        <w:t>Большинству государств, выделяющих возобновляемую энергию, на начальном этапе приходится сталкиваться с серьезными проблемами. В развивающихся странах основными преградами для развития ВИЭ являются:</w:t>
      </w:r>
    </w:p>
    <w:p w14:paraId="5FAA76CF">
      <w:pPr>
        <w:spacing w:line="360" w:lineRule="auto"/>
        <w:ind w:firstLine="709"/>
        <w:jc w:val="both"/>
        <w:rPr>
          <w:sz w:val="28"/>
          <w:szCs w:val="28"/>
        </w:rPr>
      </w:pPr>
      <w:r>
        <w:rPr>
          <w:sz w:val="28"/>
          <w:szCs w:val="28"/>
        </w:rPr>
        <w:t>большие первоначальные капитальные вложения;</w:t>
      </w:r>
    </w:p>
    <w:p w14:paraId="299CBC97">
      <w:pPr>
        <w:spacing w:line="360" w:lineRule="auto"/>
        <w:ind w:firstLine="709"/>
        <w:jc w:val="both"/>
        <w:rPr>
          <w:sz w:val="28"/>
          <w:szCs w:val="28"/>
        </w:rPr>
      </w:pPr>
      <w:r>
        <w:rPr>
          <w:sz w:val="28"/>
          <w:szCs w:val="28"/>
        </w:rPr>
        <w:t>низкий уровень технической осведомленности;</w:t>
      </w:r>
    </w:p>
    <w:p w14:paraId="7CFBBB14">
      <w:pPr>
        <w:spacing w:line="360" w:lineRule="auto"/>
        <w:ind w:firstLine="709"/>
        <w:jc w:val="both"/>
        <w:rPr>
          <w:sz w:val="28"/>
          <w:szCs w:val="28"/>
        </w:rPr>
      </w:pPr>
      <w:r>
        <w:rPr>
          <w:sz w:val="28"/>
          <w:szCs w:val="28"/>
        </w:rPr>
        <w:t>отсутствие механизмов распространения информации;</w:t>
      </w:r>
    </w:p>
    <w:p w14:paraId="6044E061">
      <w:pPr>
        <w:spacing w:line="360" w:lineRule="auto"/>
        <w:ind w:firstLine="709"/>
        <w:jc w:val="both"/>
        <w:rPr>
          <w:sz w:val="28"/>
          <w:szCs w:val="28"/>
        </w:rPr>
      </w:pPr>
      <w:r>
        <w:rPr>
          <w:sz w:val="28"/>
          <w:szCs w:val="28"/>
        </w:rPr>
        <w:t>отсутствие технической экспертизы;</w:t>
      </w:r>
    </w:p>
    <w:p w14:paraId="4D60DBA7">
      <w:pPr>
        <w:spacing w:line="360" w:lineRule="auto"/>
        <w:ind w:firstLine="709"/>
        <w:jc w:val="both"/>
        <w:rPr>
          <w:sz w:val="28"/>
          <w:szCs w:val="28"/>
        </w:rPr>
      </w:pPr>
      <w:r>
        <w:rPr>
          <w:sz w:val="28"/>
          <w:szCs w:val="28"/>
        </w:rPr>
        <w:t>ограниченное количество поставщиков технологий возобновляемой энергии и др.</w:t>
      </w:r>
    </w:p>
    <w:p w14:paraId="17D77D85">
      <w:pPr>
        <w:spacing w:line="360" w:lineRule="auto"/>
        <w:ind w:firstLine="709"/>
        <w:jc w:val="both"/>
        <w:rPr>
          <w:sz w:val="28"/>
          <w:szCs w:val="28"/>
        </w:rPr>
      </w:pPr>
      <w:r>
        <w:rPr>
          <w:sz w:val="28"/>
          <w:szCs w:val="28"/>
        </w:rPr>
        <w:t>Касательно климатических и природных условий Узбекистана: они имеют большие возможности для использования ВИЭ - в республике более 300 солнечных дней в году, наличие горных рек, которые с малыми затратами можно использовать для генерации энергии.</w:t>
      </w:r>
    </w:p>
    <w:p w14:paraId="64BB6D7F">
      <w:pPr>
        <w:spacing w:line="360" w:lineRule="auto"/>
        <w:jc w:val="center"/>
        <w:rPr>
          <w:b/>
          <w:sz w:val="28"/>
          <w:szCs w:val="28"/>
        </w:rPr>
      </w:pPr>
      <w:r>
        <w:rPr>
          <w:b/>
          <w:sz w:val="28"/>
          <w:szCs w:val="28"/>
        </w:rPr>
        <w:t>Потенциал возобновляемых источников энергии</w:t>
      </w:r>
    </w:p>
    <w:p w14:paraId="05648F0F">
      <w:pPr>
        <w:spacing w:line="360" w:lineRule="auto"/>
        <w:jc w:val="center"/>
        <w:rPr>
          <w:b/>
          <w:sz w:val="28"/>
          <w:szCs w:val="28"/>
        </w:rPr>
      </w:pPr>
      <w:r>
        <w:rPr>
          <w:b/>
          <w:sz w:val="28"/>
          <w:szCs w:val="28"/>
        </w:rPr>
        <w:t>в Узбекистане.</w:t>
      </w:r>
    </w:p>
    <w:p w14:paraId="7DD0F7D4">
      <w:pPr>
        <w:spacing w:line="360" w:lineRule="auto"/>
        <w:jc w:val="right"/>
        <w:rPr>
          <w:sz w:val="28"/>
          <w:szCs w:val="28"/>
        </w:rPr>
      </w:pPr>
      <w:r>
        <w:rPr>
          <w:sz w:val="28"/>
          <w:szCs w:val="28"/>
        </w:rPr>
        <w:t>Потенциал возобновляемых источников энергии в Узбекистане (млн. т н.э.) Таблица 1.1.</w:t>
      </w:r>
    </w:p>
    <w:tbl>
      <w:tblPr>
        <w:tblStyle w:val="3"/>
        <w:tblW w:w="9371" w:type="dxa"/>
        <w:tblInd w:w="15" w:type="dxa"/>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shd w:val="clear" w:color="auto" w:fill="EDF2F6"/>
        <w:tblLayout w:type="autofit"/>
        <w:tblCellMar>
          <w:top w:w="30" w:type="dxa"/>
          <w:left w:w="30" w:type="dxa"/>
          <w:bottom w:w="30" w:type="dxa"/>
          <w:right w:w="30" w:type="dxa"/>
        </w:tblCellMar>
      </w:tblPr>
      <w:tblGrid>
        <w:gridCol w:w="3134"/>
        <w:gridCol w:w="1984"/>
        <w:gridCol w:w="1985"/>
        <w:gridCol w:w="2268"/>
      </w:tblGrid>
      <w:tr w14:paraId="4F75A442">
        <w:tblPrEx>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shd w:val="clear" w:color="auto" w:fill="EDF2F6"/>
          <w:tblCellMar>
            <w:top w:w="30" w:type="dxa"/>
            <w:left w:w="30" w:type="dxa"/>
            <w:bottom w:w="30" w:type="dxa"/>
            <w:right w:w="30" w:type="dxa"/>
          </w:tblCellMar>
        </w:tblPrEx>
        <w:tc>
          <w:tcPr>
            <w:tcW w:w="3134" w:type="dxa"/>
            <w:tcBorders>
              <w:top w:val="outset" w:color="auto" w:sz="6" w:space="0"/>
              <w:left w:val="outset" w:color="auto" w:sz="6" w:space="0"/>
              <w:bottom w:val="outset" w:color="auto" w:sz="6" w:space="0"/>
              <w:right w:val="outset" w:color="auto" w:sz="6" w:space="0"/>
            </w:tcBorders>
            <w:shd w:val="clear" w:color="auto" w:fill="auto"/>
          </w:tcPr>
          <w:p w14:paraId="54C087DC">
            <w:pPr>
              <w:jc w:val="center"/>
              <w:rPr>
                <w:sz w:val="28"/>
                <w:szCs w:val="28"/>
              </w:rPr>
            </w:pPr>
            <w:r>
              <w:rPr>
                <w:sz w:val="28"/>
                <w:szCs w:val="28"/>
              </w:rPr>
              <w:t>Виды ВИЭ</w:t>
            </w:r>
          </w:p>
        </w:tc>
        <w:tc>
          <w:tcPr>
            <w:tcW w:w="1984" w:type="dxa"/>
            <w:tcBorders>
              <w:top w:val="outset" w:color="auto" w:sz="6" w:space="0"/>
              <w:left w:val="outset" w:color="auto" w:sz="6" w:space="0"/>
              <w:bottom w:val="outset" w:color="auto" w:sz="6" w:space="0"/>
              <w:right w:val="outset" w:color="auto" w:sz="6" w:space="0"/>
            </w:tcBorders>
            <w:shd w:val="clear" w:color="auto" w:fill="auto"/>
          </w:tcPr>
          <w:p w14:paraId="7928E8E5">
            <w:pPr>
              <w:jc w:val="center"/>
              <w:rPr>
                <w:sz w:val="28"/>
                <w:szCs w:val="28"/>
              </w:rPr>
            </w:pPr>
            <w:r>
              <w:rPr>
                <w:sz w:val="28"/>
                <w:szCs w:val="28"/>
              </w:rPr>
              <w:t>Валовой</w:t>
            </w:r>
          </w:p>
        </w:tc>
        <w:tc>
          <w:tcPr>
            <w:tcW w:w="1985" w:type="dxa"/>
            <w:tcBorders>
              <w:top w:val="outset" w:color="auto" w:sz="6" w:space="0"/>
              <w:left w:val="outset" w:color="auto" w:sz="6" w:space="0"/>
              <w:bottom w:val="outset" w:color="auto" w:sz="6" w:space="0"/>
              <w:right w:val="outset" w:color="auto" w:sz="6" w:space="0"/>
            </w:tcBorders>
            <w:shd w:val="clear" w:color="auto" w:fill="auto"/>
          </w:tcPr>
          <w:p w14:paraId="317BA190">
            <w:pPr>
              <w:jc w:val="center"/>
              <w:rPr>
                <w:sz w:val="28"/>
                <w:szCs w:val="28"/>
              </w:rPr>
            </w:pPr>
            <w:r>
              <w:rPr>
                <w:sz w:val="28"/>
                <w:szCs w:val="28"/>
              </w:rPr>
              <w:t>Технический</w:t>
            </w:r>
          </w:p>
        </w:tc>
        <w:tc>
          <w:tcPr>
            <w:tcW w:w="2268" w:type="dxa"/>
            <w:tcBorders>
              <w:top w:val="outset" w:color="auto" w:sz="6" w:space="0"/>
              <w:left w:val="outset" w:color="auto" w:sz="6" w:space="0"/>
              <w:bottom w:val="outset" w:color="auto" w:sz="6" w:space="0"/>
              <w:right w:val="outset" w:color="auto" w:sz="6" w:space="0"/>
            </w:tcBorders>
            <w:shd w:val="clear" w:color="auto" w:fill="auto"/>
          </w:tcPr>
          <w:p w14:paraId="6EF1DB44">
            <w:pPr>
              <w:jc w:val="center"/>
              <w:rPr>
                <w:sz w:val="28"/>
                <w:szCs w:val="28"/>
              </w:rPr>
            </w:pPr>
            <w:r>
              <w:rPr>
                <w:sz w:val="28"/>
                <w:szCs w:val="28"/>
              </w:rPr>
              <w:t>Освоенный</w:t>
            </w:r>
          </w:p>
        </w:tc>
      </w:tr>
      <w:tr w14:paraId="4C6510D4">
        <w:tblPrEx>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tblCellMar>
            <w:top w:w="30" w:type="dxa"/>
            <w:left w:w="30" w:type="dxa"/>
            <w:bottom w:w="30" w:type="dxa"/>
            <w:right w:w="30" w:type="dxa"/>
          </w:tblCellMar>
        </w:tblPrEx>
        <w:tc>
          <w:tcPr>
            <w:tcW w:w="3134" w:type="dxa"/>
            <w:tcBorders>
              <w:top w:val="outset" w:color="auto" w:sz="6" w:space="0"/>
              <w:left w:val="outset" w:color="auto" w:sz="6" w:space="0"/>
              <w:bottom w:val="outset" w:color="auto" w:sz="6" w:space="0"/>
              <w:right w:val="outset" w:color="auto" w:sz="6" w:space="0"/>
            </w:tcBorders>
            <w:shd w:val="clear" w:color="auto" w:fill="auto"/>
          </w:tcPr>
          <w:p w14:paraId="6F2B48D2">
            <w:pPr>
              <w:jc w:val="center"/>
              <w:rPr>
                <w:sz w:val="28"/>
                <w:szCs w:val="28"/>
              </w:rPr>
            </w:pPr>
            <w:r>
              <w:rPr>
                <w:sz w:val="28"/>
                <w:szCs w:val="28"/>
              </w:rPr>
              <w:t>Гидроэнергия, всего</w:t>
            </w:r>
          </w:p>
        </w:tc>
        <w:tc>
          <w:tcPr>
            <w:tcW w:w="1984" w:type="dxa"/>
            <w:tcBorders>
              <w:top w:val="outset" w:color="auto" w:sz="6" w:space="0"/>
              <w:left w:val="outset" w:color="auto" w:sz="6" w:space="0"/>
              <w:bottom w:val="outset" w:color="auto" w:sz="6" w:space="0"/>
              <w:right w:val="outset" w:color="auto" w:sz="6" w:space="0"/>
            </w:tcBorders>
            <w:shd w:val="clear" w:color="auto" w:fill="auto"/>
          </w:tcPr>
          <w:p w14:paraId="6A95A01D">
            <w:pPr>
              <w:jc w:val="center"/>
              <w:rPr>
                <w:sz w:val="28"/>
                <w:szCs w:val="28"/>
              </w:rPr>
            </w:pPr>
            <w:r>
              <w:rPr>
                <w:sz w:val="28"/>
                <w:szCs w:val="28"/>
              </w:rPr>
              <w:t>9,2</w:t>
            </w:r>
          </w:p>
        </w:tc>
        <w:tc>
          <w:tcPr>
            <w:tcW w:w="1985" w:type="dxa"/>
            <w:tcBorders>
              <w:top w:val="outset" w:color="auto" w:sz="6" w:space="0"/>
              <w:left w:val="outset" w:color="auto" w:sz="6" w:space="0"/>
              <w:bottom w:val="outset" w:color="auto" w:sz="6" w:space="0"/>
              <w:right w:val="outset" w:color="auto" w:sz="6" w:space="0"/>
            </w:tcBorders>
            <w:shd w:val="clear" w:color="auto" w:fill="auto"/>
          </w:tcPr>
          <w:p w14:paraId="092C743F">
            <w:pPr>
              <w:jc w:val="center"/>
              <w:rPr>
                <w:sz w:val="28"/>
                <w:szCs w:val="28"/>
              </w:rPr>
            </w:pPr>
            <w:r>
              <w:rPr>
                <w:sz w:val="28"/>
                <w:szCs w:val="28"/>
              </w:rPr>
              <w:t>2,32</w:t>
            </w:r>
          </w:p>
        </w:tc>
        <w:tc>
          <w:tcPr>
            <w:tcW w:w="2268" w:type="dxa"/>
            <w:tcBorders>
              <w:top w:val="outset" w:color="auto" w:sz="6" w:space="0"/>
              <w:left w:val="outset" w:color="auto" w:sz="6" w:space="0"/>
              <w:bottom w:val="outset" w:color="auto" w:sz="6" w:space="0"/>
              <w:right w:val="outset" w:color="auto" w:sz="6" w:space="0"/>
            </w:tcBorders>
            <w:shd w:val="clear" w:color="auto" w:fill="auto"/>
          </w:tcPr>
          <w:p w14:paraId="09744418">
            <w:pPr>
              <w:jc w:val="center"/>
              <w:rPr>
                <w:sz w:val="28"/>
                <w:szCs w:val="28"/>
              </w:rPr>
            </w:pPr>
            <w:r>
              <w:rPr>
                <w:sz w:val="28"/>
                <w:szCs w:val="28"/>
              </w:rPr>
              <w:t>0,72</w:t>
            </w:r>
          </w:p>
        </w:tc>
      </w:tr>
      <w:tr w14:paraId="5FABE086">
        <w:tblPrEx>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tblCellMar>
            <w:top w:w="30" w:type="dxa"/>
            <w:left w:w="30" w:type="dxa"/>
            <w:bottom w:w="30" w:type="dxa"/>
            <w:right w:w="30" w:type="dxa"/>
          </w:tblCellMar>
        </w:tblPrEx>
        <w:tc>
          <w:tcPr>
            <w:tcW w:w="3134" w:type="dxa"/>
            <w:tcBorders>
              <w:top w:val="outset" w:color="auto" w:sz="6" w:space="0"/>
              <w:left w:val="outset" w:color="auto" w:sz="6" w:space="0"/>
              <w:bottom w:val="outset" w:color="auto" w:sz="6" w:space="0"/>
              <w:right w:val="outset" w:color="auto" w:sz="6" w:space="0"/>
            </w:tcBorders>
            <w:shd w:val="clear" w:color="auto" w:fill="auto"/>
          </w:tcPr>
          <w:p w14:paraId="5C437320">
            <w:pPr>
              <w:jc w:val="center"/>
              <w:rPr>
                <w:sz w:val="28"/>
                <w:szCs w:val="28"/>
              </w:rPr>
            </w:pPr>
            <w:r>
              <w:rPr>
                <w:sz w:val="28"/>
                <w:szCs w:val="28"/>
              </w:rPr>
              <w:t>В т.ч. крупных рек</w:t>
            </w:r>
          </w:p>
        </w:tc>
        <w:tc>
          <w:tcPr>
            <w:tcW w:w="1984" w:type="dxa"/>
            <w:tcBorders>
              <w:top w:val="outset" w:color="auto" w:sz="6" w:space="0"/>
              <w:left w:val="outset" w:color="auto" w:sz="6" w:space="0"/>
              <w:bottom w:val="outset" w:color="auto" w:sz="6" w:space="0"/>
              <w:right w:val="outset" w:color="auto" w:sz="6" w:space="0"/>
            </w:tcBorders>
            <w:shd w:val="clear" w:color="auto" w:fill="auto"/>
          </w:tcPr>
          <w:p w14:paraId="22A471DC">
            <w:pPr>
              <w:jc w:val="center"/>
              <w:rPr>
                <w:sz w:val="28"/>
                <w:szCs w:val="28"/>
              </w:rPr>
            </w:pPr>
            <w:r>
              <w:rPr>
                <w:sz w:val="28"/>
                <w:szCs w:val="28"/>
              </w:rPr>
              <w:t>8,0</w:t>
            </w:r>
          </w:p>
        </w:tc>
        <w:tc>
          <w:tcPr>
            <w:tcW w:w="1985" w:type="dxa"/>
            <w:tcBorders>
              <w:top w:val="outset" w:color="auto" w:sz="6" w:space="0"/>
              <w:left w:val="outset" w:color="auto" w:sz="6" w:space="0"/>
              <w:bottom w:val="outset" w:color="auto" w:sz="6" w:space="0"/>
              <w:right w:val="outset" w:color="auto" w:sz="6" w:space="0"/>
            </w:tcBorders>
            <w:shd w:val="clear" w:color="auto" w:fill="auto"/>
          </w:tcPr>
          <w:p w14:paraId="19B0D998">
            <w:pPr>
              <w:jc w:val="center"/>
              <w:rPr>
                <w:sz w:val="28"/>
                <w:szCs w:val="28"/>
              </w:rPr>
            </w:pPr>
            <w:r>
              <w:rPr>
                <w:sz w:val="28"/>
                <w:szCs w:val="28"/>
              </w:rPr>
              <w:t>1,81</w:t>
            </w:r>
          </w:p>
        </w:tc>
        <w:tc>
          <w:tcPr>
            <w:tcW w:w="2268" w:type="dxa"/>
            <w:tcBorders>
              <w:top w:val="outset" w:color="auto" w:sz="6" w:space="0"/>
              <w:left w:val="outset" w:color="auto" w:sz="6" w:space="0"/>
              <w:bottom w:val="outset" w:color="auto" w:sz="6" w:space="0"/>
              <w:right w:val="outset" w:color="auto" w:sz="6" w:space="0"/>
            </w:tcBorders>
            <w:shd w:val="clear" w:color="auto" w:fill="auto"/>
          </w:tcPr>
          <w:p w14:paraId="30985970">
            <w:pPr>
              <w:jc w:val="center"/>
              <w:rPr>
                <w:sz w:val="28"/>
                <w:szCs w:val="28"/>
              </w:rPr>
            </w:pPr>
            <w:r>
              <w:rPr>
                <w:sz w:val="28"/>
                <w:szCs w:val="28"/>
              </w:rPr>
              <w:t>0,56</w:t>
            </w:r>
          </w:p>
        </w:tc>
      </w:tr>
      <w:tr w14:paraId="6B79E4A7">
        <w:tblPrEx>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tblCellMar>
            <w:top w:w="30" w:type="dxa"/>
            <w:left w:w="30" w:type="dxa"/>
            <w:bottom w:w="30" w:type="dxa"/>
            <w:right w:w="30" w:type="dxa"/>
          </w:tblCellMar>
        </w:tblPrEx>
        <w:tc>
          <w:tcPr>
            <w:tcW w:w="3134" w:type="dxa"/>
            <w:tcBorders>
              <w:top w:val="outset" w:color="auto" w:sz="6" w:space="0"/>
              <w:left w:val="outset" w:color="auto" w:sz="6" w:space="0"/>
              <w:bottom w:val="outset" w:color="auto" w:sz="6" w:space="0"/>
              <w:right w:val="outset" w:color="auto" w:sz="6" w:space="0"/>
            </w:tcBorders>
            <w:shd w:val="clear" w:color="auto" w:fill="auto"/>
          </w:tcPr>
          <w:p w14:paraId="5FD14F6B">
            <w:pPr>
              <w:jc w:val="center"/>
              <w:rPr>
                <w:sz w:val="28"/>
                <w:szCs w:val="28"/>
              </w:rPr>
            </w:pPr>
            <w:r>
              <w:rPr>
                <w:sz w:val="28"/>
                <w:szCs w:val="28"/>
              </w:rPr>
              <w:t>Малых рек, водохранилищ и каналов</w:t>
            </w:r>
          </w:p>
        </w:tc>
        <w:tc>
          <w:tcPr>
            <w:tcW w:w="1984" w:type="dxa"/>
            <w:tcBorders>
              <w:top w:val="outset" w:color="auto" w:sz="6" w:space="0"/>
              <w:left w:val="outset" w:color="auto" w:sz="6" w:space="0"/>
              <w:bottom w:val="outset" w:color="auto" w:sz="6" w:space="0"/>
              <w:right w:val="outset" w:color="auto" w:sz="6" w:space="0"/>
            </w:tcBorders>
            <w:shd w:val="clear" w:color="auto" w:fill="auto"/>
          </w:tcPr>
          <w:p w14:paraId="7BE0946F">
            <w:pPr>
              <w:jc w:val="center"/>
              <w:rPr>
                <w:sz w:val="28"/>
                <w:szCs w:val="28"/>
              </w:rPr>
            </w:pPr>
            <w:r>
              <w:rPr>
                <w:sz w:val="28"/>
                <w:szCs w:val="28"/>
              </w:rPr>
              <w:t>1,2</w:t>
            </w:r>
          </w:p>
        </w:tc>
        <w:tc>
          <w:tcPr>
            <w:tcW w:w="1985" w:type="dxa"/>
            <w:tcBorders>
              <w:top w:val="outset" w:color="auto" w:sz="6" w:space="0"/>
              <w:left w:val="outset" w:color="auto" w:sz="6" w:space="0"/>
              <w:bottom w:val="outset" w:color="auto" w:sz="6" w:space="0"/>
              <w:right w:val="outset" w:color="auto" w:sz="6" w:space="0"/>
            </w:tcBorders>
            <w:shd w:val="clear" w:color="auto" w:fill="auto"/>
          </w:tcPr>
          <w:p w14:paraId="71AB5AFC">
            <w:pPr>
              <w:jc w:val="center"/>
              <w:rPr>
                <w:sz w:val="28"/>
                <w:szCs w:val="28"/>
              </w:rPr>
            </w:pPr>
            <w:r>
              <w:rPr>
                <w:sz w:val="28"/>
                <w:szCs w:val="28"/>
              </w:rPr>
              <w:t>0,51</w:t>
            </w:r>
          </w:p>
        </w:tc>
        <w:tc>
          <w:tcPr>
            <w:tcW w:w="2268" w:type="dxa"/>
            <w:tcBorders>
              <w:top w:val="outset" w:color="auto" w:sz="6" w:space="0"/>
              <w:left w:val="outset" w:color="auto" w:sz="6" w:space="0"/>
              <w:bottom w:val="outset" w:color="auto" w:sz="6" w:space="0"/>
              <w:right w:val="outset" w:color="auto" w:sz="6" w:space="0"/>
            </w:tcBorders>
            <w:shd w:val="clear" w:color="auto" w:fill="auto"/>
          </w:tcPr>
          <w:p w14:paraId="55CE6EB4">
            <w:pPr>
              <w:jc w:val="center"/>
              <w:rPr>
                <w:sz w:val="28"/>
                <w:szCs w:val="28"/>
              </w:rPr>
            </w:pPr>
            <w:r>
              <w:rPr>
                <w:sz w:val="28"/>
                <w:szCs w:val="28"/>
              </w:rPr>
              <w:t>0,16</w:t>
            </w:r>
          </w:p>
        </w:tc>
      </w:tr>
      <w:tr w14:paraId="10303C76">
        <w:tblPrEx>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shd w:val="clear" w:color="auto" w:fill="EDF2F6"/>
          <w:tblCellMar>
            <w:top w:w="30" w:type="dxa"/>
            <w:left w:w="30" w:type="dxa"/>
            <w:bottom w:w="30" w:type="dxa"/>
            <w:right w:w="30" w:type="dxa"/>
          </w:tblCellMar>
        </w:tblPrEx>
        <w:tc>
          <w:tcPr>
            <w:tcW w:w="3134" w:type="dxa"/>
            <w:tcBorders>
              <w:top w:val="outset" w:color="auto" w:sz="6" w:space="0"/>
              <w:left w:val="outset" w:color="auto" w:sz="6" w:space="0"/>
              <w:bottom w:val="outset" w:color="auto" w:sz="6" w:space="0"/>
              <w:right w:val="outset" w:color="auto" w:sz="6" w:space="0"/>
            </w:tcBorders>
            <w:shd w:val="clear" w:color="auto" w:fill="auto"/>
          </w:tcPr>
          <w:p w14:paraId="3E45BEC6">
            <w:pPr>
              <w:jc w:val="center"/>
              <w:rPr>
                <w:sz w:val="28"/>
                <w:szCs w:val="28"/>
              </w:rPr>
            </w:pPr>
            <w:r>
              <w:rPr>
                <w:sz w:val="28"/>
                <w:szCs w:val="28"/>
              </w:rPr>
              <w:t>Солнечная энергия</w:t>
            </w:r>
          </w:p>
        </w:tc>
        <w:tc>
          <w:tcPr>
            <w:tcW w:w="1984" w:type="dxa"/>
            <w:tcBorders>
              <w:top w:val="outset" w:color="auto" w:sz="6" w:space="0"/>
              <w:left w:val="outset" w:color="auto" w:sz="6" w:space="0"/>
              <w:bottom w:val="outset" w:color="auto" w:sz="6" w:space="0"/>
              <w:right w:val="outset" w:color="auto" w:sz="6" w:space="0"/>
            </w:tcBorders>
            <w:shd w:val="clear" w:color="auto" w:fill="auto"/>
          </w:tcPr>
          <w:p w14:paraId="14B47F2F">
            <w:pPr>
              <w:jc w:val="center"/>
              <w:rPr>
                <w:sz w:val="28"/>
                <w:szCs w:val="28"/>
              </w:rPr>
            </w:pPr>
            <w:r>
              <w:rPr>
                <w:sz w:val="28"/>
                <w:szCs w:val="28"/>
              </w:rPr>
              <w:t>50973</w:t>
            </w:r>
          </w:p>
        </w:tc>
        <w:tc>
          <w:tcPr>
            <w:tcW w:w="1985" w:type="dxa"/>
            <w:tcBorders>
              <w:top w:val="outset" w:color="auto" w:sz="6" w:space="0"/>
              <w:left w:val="outset" w:color="auto" w:sz="6" w:space="0"/>
              <w:bottom w:val="outset" w:color="auto" w:sz="6" w:space="0"/>
              <w:right w:val="outset" w:color="auto" w:sz="6" w:space="0"/>
            </w:tcBorders>
            <w:shd w:val="clear" w:color="auto" w:fill="auto"/>
          </w:tcPr>
          <w:p w14:paraId="6B7FEBF6">
            <w:pPr>
              <w:jc w:val="center"/>
              <w:rPr>
                <w:sz w:val="28"/>
                <w:szCs w:val="28"/>
              </w:rPr>
            </w:pPr>
            <w:r>
              <w:rPr>
                <w:sz w:val="28"/>
                <w:szCs w:val="28"/>
              </w:rPr>
              <w:t>176,8</w:t>
            </w:r>
          </w:p>
        </w:tc>
        <w:tc>
          <w:tcPr>
            <w:tcW w:w="2268" w:type="dxa"/>
            <w:tcBorders>
              <w:top w:val="outset" w:color="auto" w:sz="6" w:space="0"/>
              <w:left w:val="outset" w:color="auto" w:sz="6" w:space="0"/>
              <w:bottom w:val="outset" w:color="auto" w:sz="6" w:space="0"/>
              <w:right w:val="outset" w:color="auto" w:sz="6" w:space="0"/>
            </w:tcBorders>
            <w:shd w:val="clear" w:color="auto" w:fill="auto"/>
          </w:tcPr>
          <w:p w14:paraId="258C3DEC">
            <w:pPr>
              <w:jc w:val="center"/>
              <w:rPr>
                <w:sz w:val="28"/>
                <w:szCs w:val="28"/>
              </w:rPr>
            </w:pPr>
          </w:p>
        </w:tc>
      </w:tr>
      <w:tr w14:paraId="07715832">
        <w:tblPrEx>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tblCellMar>
            <w:top w:w="30" w:type="dxa"/>
            <w:left w:w="30" w:type="dxa"/>
            <w:bottom w:w="30" w:type="dxa"/>
            <w:right w:w="30" w:type="dxa"/>
          </w:tblCellMar>
        </w:tblPrEx>
        <w:tc>
          <w:tcPr>
            <w:tcW w:w="3134" w:type="dxa"/>
            <w:tcBorders>
              <w:top w:val="outset" w:color="auto" w:sz="6" w:space="0"/>
              <w:left w:val="outset" w:color="auto" w:sz="6" w:space="0"/>
              <w:bottom w:val="outset" w:color="auto" w:sz="6" w:space="0"/>
              <w:right w:val="outset" w:color="auto" w:sz="6" w:space="0"/>
            </w:tcBorders>
            <w:shd w:val="clear" w:color="auto" w:fill="auto"/>
          </w:tcPr>
          <w:p w14:paraId="258C3769">
            <w:pPr>
              <w:jc w:val="center"/>
              <w:rPr>
                <w:sz w:val="28"/>
                <w:szCs w:val="28"/>
              </w:rPr>
            </w:pPr>
            <w:r>
              <w:rPr>
                <w:sz w:val="28"/>
                <w:szCs w:val="28"/>
              </w:rPr>
              <w:t>Ветровая энергия</w:t>
            </w:r>
          </w:p>
        </w:tc>
        <w:tc>
          <w:tcPr>
            <w:tcW w:w="1984" w:type="dxa"/>
            <w:tcBorders>
              <w:top w:val="outset" w:color="auto" w:sz="6" w:space="0"/>
              <w:left w:val="outset" w:color="auto" w:sz="6" w:space="0"/>
              <w:bottom w:val="outset" w:color="auto" w:sz="6" w:space="0"/>
              <w:right w:val="outset" w:color="auto" w:sz="6" w:space="0"/>
            </w:tcBorders>
            <w:shd w:val="clear" w:color="auto" w:fill="auto"/>
          </w:tcPr>
          <w:p w14:paraId="0F3687FF">
            <w:pPr>
              <w:jc w:val="center"/>
              <w:rPr>
                <w:sz w:val="28"/>
                <w:szCs w:val="28"/>
              </w:rPr>
            </w:pPr>
            <w:r>
              <w:rPr>
                <w:sz w:val="28"/>
                <w:szCs w:val="28"/>
              </w:rPr>
              <w:t>2,2</w:t>
            </w:r>
          </w:p>
        </w:tc>
        <w:tc>
          <w:tcPr>
            <w:tcW w:w="1985" w:type="dxa"/>
            <w:tcBorders>
              <w:top w:val="outset" w:color="auto" w:sz="6" w:space="0"/>
              <w:left w:val="outset" w:color="auto" w:sz="6" w:space="0"/>
              <w:bottom w:val="outset" w:color="auto" w:sz="6" w:space="0"/>
              <w:right w:val="outset" w:color="auto" w:sz="6" w:space="0"/>
            </w:tcBorders>
            <w:shd w:val="clear" w:color="auto" w:fill="auto"/>
          </w:tcPr>
          <w:p w14:paraId="3A0BF4BD">
            <w:pPr>
              <w:jc w:val="center"/>
              <w:rPr>
                <w:sz w:val="28"/>
                <w:szCs w:val="28"/>
              </w:rPr>
            </w:pPr>
            <w:r>
              <w:rPr>
                <w:sz w:val="28"/>
                <w:szCs w:val="28"/>
              </w:rPr>
              <w:t>0,4</w:t>
            </w:r>
          </w:p>
        </w:tc>
        <w:tc>
          <w:tcPr>
            <w:tcW w:w="2268" w:type="dxa"/>
            <w:tcBorders>
              <w:top w:val="outset" w:color="auto" w:sz="6" w:space="0"/>
              <w:left w:val="outset" w:color="auto" w:sz="6" w:space="0"/>
              <w:bottom w:val="outset" w:color="auto" w:sz="6" w:space="0"/>
              <w:right w:val="outset" w:color="auto" w:sz="6" w:space="0"/>
            </w:tcBorders>
            <w:shd w:val="clear" w:color="auto" w:fill="auto"/>
          </w:tcPr>
          <w:p w14:paraId="77B8CBDA">
            <w:pPr>
              <w:jc w:val="center"/>
              <w:rPr>
                <w:sz w:val="28"/>
                <w:szCs w:val="28"/>
              </w:rPr>
            </w:pPr>
          </w:p>
        </w:tc>
      </w:tr>
      <w:tr w14:paraId="09C0DB2C">
        <w:tblPrEx>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shd w:val="clear" w:color="auto" w:fill="EDF2F6"/>
          <w:tblCellMar>
            <w:top w:w="30" w:type="dxa"/>
            <w:left w:w="30" w:type="dxa"/>
            <w:bottom w:w="30" w:type="dxa"/>
            <w:right w:w="30" w:type="dxa"/>
          </w:tblCellMar>
        </w:tblPrEx>
        <w:tc>
          <w:tcPr>
            <w:tcW w:w="3134" w:type="dxa"/>
            <w:tcBorders>
              <w:top w:val="outset" w:color="auto" w:sz="6" w:space="0"/>
              <w:left w:val="outset" w:color="auto" w:sz="6" w:space="0"/>
              <w:bottom w:val="outset" w:color="auto" w:sz="6" w:space="0"/>
              <w:right w:val="outset" w:color="auto" w:sz="6" w:space="0"/>
            </w:tcBorders>
            <w:shd w:val="clear" w:color="auto" w:fill="auto"/>
          </w:tcPr>
          <w:p w14:paraId="22511C28">
            <w:pPr>
              <w:jc w:val="center"/>
              <w:rPr>
                <w:sz w:val="28"/>
                <w:szCs w:val="28"/>
              </w:rPr>
            </w:pPr>
            <w:r>
              <w:rPr>
                <w:sz w:val="28"/>
                <w:szCs w:val="28"/>
              </w:rPr>
              <w:t>Биомасса</w:t>
            </w:r>
          </w:p>
        </w:tc>
        <w:tc>
          <w:tcPr>
            <w:tcW w:w="1984" w:type="dxa"/>
            <w:tcBorders>
              <w:top w:val="outset" w:color="auto" w:sz="6" w:space="0"/>
              <w:left w:val="outset" w:color="auto" w:sz="6" w:space="0"/>
              <w:bottom w:val="outset" w:color="auto" w:sz="6" w:space="0"/>
              <w:right w:val="outset" w:color="auto" w:sz="6" w:space="0"/>
            </w:tcBorders>
            <w:shd w:val="clear" w:color="auto" w:fill="auto"/>
          </w:tcPr>
          <w:p w14:paraId="1CB1E188">
            <w:pPr>
              <w:jc w:val="center"/>
              <w:rPr>
                <w:sz w:val="28"/>
                <w:szCs w:val="28"/>
              </w:rPr>
            </w:pPr>
          </w:p>
        </w:tc>
        <w:tc>
          <w:tcPr>
            <w:tcW w:w="1985" w:type="dxa"/>
            <w:tcBorders>
              <w:top w:val="outset" w:color="auto" w:sz="6" w:space="0"/>
              <w:left w:val="outset" w:color="auto" w:sz="6" w:space="0"/>
              <w:bottom w:val="outset" w:color="auto" w:sz="6" w:space="0"/>
              <w:right w:val="outset" w:color="auto" w:sz="6" w:space="0"/>
            </w:tcBorders>
            <w:shd w:val="clear" w:color="auto" w:fill="auto"/>
          </w:tcPr>
          <w:p w14:paraId="6F25DE51">
            <w:pPr>
              <w:jc w:val="center"/>
              <w:rPr>
                <w:sz w:val="28"/>
                <w:szCs w:val="28"/>
              </w:rPr>
            </w:pPr>
            <w:r>
              <w:rPr>
                <w:sz w:val="28"/>
                <w:szCs w:val="28"/>
              </w:rPr>
              <w:t>0,5</w:t>
            </w:r>
          </w:p>
        </w:tc>
        <w:tc>
          <w:tcPr>
            <w:tcW w:w="2268" w:type="dxa"/>
            <w:tcBorders>
              <w:top w:val="outset" w:color="auto" w:sz="6" w:space="0"/>
              <w:left w:val="outset" w:color="auto" w:sz="6" w:space="0"/>
              <w:bottom w:val="outset" w:color="auto" w:sz="6" w:space="0"/>
              <w:right w:val="outset" w:color="auto" w:sz="6" w:space="0"/>
            </w:tcBorders>
            <w:shd w:val="clear" w:color="auto" w:fill="auto"/>
          </w:tcPr>
          <w:p w14:paraId="1ACEC74F">
            <w:pPr>
              <w:jc w:val="center"/>
              <w:rPr>
                <w:sz w:val="28"/>
                <w:szCs w:val="28"/>
              </w:rPr>
            </w:pPr>
          </w:p>
        </w:tc>
      </w:tr>
      <w:tr w14:paraId="72F9442D">
        <w:tblPrEx>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shd w:val="clear" w:color="auto" w:fill="EDF2F6"/>
          <w:tblCellMar>
            <w:top w:w="30" w:type="dxa"/>
            <w:left w:w="30" w:type="dxa"/>
            <w:bottom w:w="30" w:type="dxa"/>
            <w:right w:w="30" w:type="dxa"/>
          </w:tblCellMar>
        </w:tblPrEx>
        <w:tc>
          <w:tcPr>
            <w:tcW w:w="3134" w:type="dxa"/>
            <w:tcBorders>
              <w:top w:val="outset" w:color="auto" w:sz="6" w:space="0"/>
              <w:left w:val="outset" w:color="auto" w:sz="6" w:space="0"/>
              <w:bottom w:val="outset" w:color="auto" w:sz="6" w:space="0"/>
              <w:right w:val="outset" w:color="auto" w:sz="6" w:space="0"/>
            </w:tcBorders>
            <w:shd w:val="clear" w:color="auto" w:fill="auto"/>
          </w:tcPr>
          <w:p w14:paraId="46A4E6AC">
            <w:pPr>
              <w:jc w:val="center"/>
              <w:rPr>
                <w:sz w:val="28"/>
                <w:szCs w:val="28"/>
              </w:rPr>
            </w:pPr>
            <w:r>
              <w:rPr>
                <w:sz w:val="28"/>
                <w:szCs w:val="28"/>
              </w:rPr>
              <w:t>Геотермальные воды</w:t>
            </w:r>
          </w:p>
        </w:tc>
        <w:tc>
          <w:tcPr>
            <w:tcW w:w="1984" w:type="dxa"/>
            <w:tcBorders>
              <w:top w:val="outset" w:color="auto" w:sz="6" w:space="0"/>
              <w:left w:val="outset" w:color="auto" w:sz="6" w:space="0"/>
              <w:bottom w:val="outset" w:color="auto" w:sz="6" w:space="0"/>
              <w:right w:val="outset" w:color="auto" w:sz="6" w:space="0"/>
            </w:tcBorders>
            <w:shd w:val="clear" w:color="auto" w:fill="auto"/>
          </w:tcPr>
          <w:p w14:paraId="3F323D76">
            <w:pPr>
              <w:jc w:val="center"/>
              <w:rPr>
                <w:sz w:val="28"/>
                <w:szCs w:val="28"/>
              </w:rPr>
            </w:pPr>
            <w:r>
              <w:rPr>
                <w:sz w:val="28"/>
                <w:szCs w:val="28"/>
              </w:rPr>
              <w:t>0,2</w:t>
            </w:r>
          </w:p>
        </w:tc>
        <w:tc>
          <w:tcPr>
            <w:tcW w:w="1985" w:type="dxa"/>
            <w:tcBorders>
              <w:top w:val="outset" w:color="auto" w:sz="6" w:space="0"/>
              <w:left w:val="outset" w:color="auto" w:sz="6" w:space="0"/>
              <w:bottom w:val="outset" w:color="auto" w:sz="6" w:space="0"/>
              <w:right w:val="outset" w:color="auto" w:sz="6" w:space="0"/>
            </w:tcBorders>
            <w:shd w:val="clear" w:color="auto" w:fill="auto"/>
          </w:tcPr>
          <w:p w14:paraId="056C9DB4">
            <w:pPr>
              <w:jc w:val="center"/>
              <w:rPr>
                <w:sz w:val="28"/>
                <w:szCs w:val="28"/>
              </w:rPr>
            </w:pPr>
            <w:r>
              <w:rPr>
                <w:sz w:val="28"/>
                <w:szCs w:val="28"/>
              </w:rPr>
              <w:t>0</w:t>
            </w:r>
          </w:p>
        </w:tc>
        <w:tc>
          <w:tcPr>
            <w:tcW w:w="2268" w:type="dxa"/>
            <w:tcBorders>
              <w:top w:val="outset" w:color="auto" w:sz="6" w:space="0"/>
              <w:left w:val="outset" w:color="auto" w:sz="6" w:space="0"/>
              <w:bottom w:val="outset" w:color="auto" w:sz="6" w:space="0"/>
              <w:right w:val="outset" w:color="auto" w:sz="6" w:space="0"/>
            </w:tcBorders>
            <w:shd w:val="clear" w:color="auto" w:fill="auto"/>
          </w:tcPr>
          <w:p w14:paraId="32EAC0F5">
            <w:pPr>
              <w:jc w:val="center"/>
              <w:rPr>
                <w:sz w:val="28"/>
                <w:szCs w:val="28"/>
              </w:rPr>
            </w:pPr>
            <w:r>
              <w:rPr>
                <w:sz w:val="28"/>
                <w:szCs w:val="28"/>
              </w:rPr>
              <w:t>0</w:t>
            </w:r>
          </w:p>
        </w:tc>
      </w:tr>
      <w:tr w14:paraId="6824920F">
        <w:tblPrEx>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tblCellMar>
            <w:top w:w="30" w:type="dxa"/>
            <w:left w:w="30" w:type="dxa"/>
            <w:bottom w:w="30" w:type="dxa"/>
            <w:right w:w="30" w:type="dxa"/>
          </w:tblCellMar>
        </w:tblPrEx>
        <w:tc>
          <w:tcPr>
            <w:tcW w:w="3134" w:type="dxa"/>
            <w:tcBorders>
              <w:top w:val="outset" w:color="auto" w:sz="6" w:space="0"/>
              <w:left w:val="outset" w:color="auto" w:sz="6" w:space="0"/>
              <w:bottom w:val="outset" w:color="auto" w:sz="6" w:space="0"/>
              <w:right w:val="outset" w:color="auto" w:sz="6" w:space="0"/>
            </w:tcBorders>
            <w:shd w:val="clear" w:color="auto" w:fill="auto"/>
          </w:tcPr>
          <w:p w14:paraId="5FB975FF">
            <w:pPr>
              <w:jc w:val="center"/>
              <w:rPr>
                <w:sz w:val="28"/>
                <w:szCs w:val="28"/>
              </w:rPr>
            </w:pPr>
            <w:r>
              <w:rPr>
                <w:sz w:val="28"/>
                <w:szCs w:val="28"/>
              </w:rPr>
              <w:t>Петротермальные ресурсы (тепло сухих горных пород)</w:t>
            </w:r>
          </w:p>
        </w:tc>
        <w:tc>
          <w:tcPr>
            <w:tcW w:w="1984" w:type="dxa"/>
            <w:tcBorders>
              <w:top w:val="outset" w:color="auto" w:sz="6" w:space="0"/>
              <w:left w:val="outset" w:color="auto" w:sz="6" w:space="0"/>
              <w:bottom w:val="outset" w:color="auto" w:sz="6" w:space="0"/>
              <w:right w:val="outset" w:color="auto" w:sz="6" w:space="0"/>
            </w:tcBorders>
            <w:shd w:val="clear" w:color="auto" w:fill="auto"/>
          </w:tcPr>
          <w:p w14:paraId="68F09705">
            <w:pPr>
              <w:jc w:val="center"/>
              <w:rPr>
                <w:sz w:val="28"/>
                <w:szCs w:val="28"/>
              </w:rPr>
            </w:pPr>
            <w:r>
              <w:rPr>
                <w:sz w:val="28"/>
                <w:szCs w:val="28"/>
              </w:rPr>
              <w:t>6700000</w:t>
            </w:r>
          </w:p>
        </w:tc>
        <w:tc>
          <w:tcPr>
            <w:tcW w:w="1985" w:type="dxa"/>
            <w:tcBorders>
              <w:top w:val="outset" w:color="auto" w:sz="6" w:space="0"/>
              <w:left w:val="outset" w:color="auto" w:sz="6" w:space="0"/>
              <w:bottom w:val="outset" w:color="auto" w:sz="6" w:space="0"/>
              <w:right w:val="outset" w:color="auto" w:sz="6" w:space="0"/>
            </w:tcBorders>
            <w:shd w:val="clear" w:color="auto" w:fill="auto"/>
          </w:tcPr>
          <w:p w14:paraId="70DE7D6B">
            <w:pPr>
              <w:jc w:val="center"/>
              <w:rPr>
                <w:sz w:val="28"/>
                <w:szCs w:val="28"/>
              </w:rPr>
            </w:pPr>
            <w:r>
              <w:rPr>
                <w:sz w:val="28"/>
                <w:szCs w:val="28"/>
              </w:rPr>
              <w:t>0</w:t>
            </w:r>
          </w:p>
        </w:tc>
        <w:tc>
          <w:tcPr>
            <w:tcW w:w="2268" w:type="dxa"/>
            <w:tcBorders>
              <w:top w:val="outset" w:color="auto" w:sz="6" w:space="0"/>
              <w:left w:val="outset" w:color="auto" w:sz="6" w:space="0"/>
              <w:bottom w:val="outset" w:color="auto" w:sz="6" w:space="0"/>
              <w:right w:val="outset" w:color="auto" w:sz="6" w:space="0"/>
            </w:tcBorders>
            <w:shd w:val="clear" w:color="auto" w:fill="auto"/>
          </w:tcPr>
          <w:p w14:paraId="227E7393">
            <w:pPr>
              <w:jc w:val="center"/>
              <w:rPr>
                <w:sz w:val="28"/>
                <w:szCs w:val="28"/>
              </w:rPr>
            </w:pPr>
            <w:r>
              <w:rPr>
                <w:sz w:val="28"/>
                <w:szCs w:val="28"/>
              </w:rPr>
              <w:t>0</w:t>
            </w:r>
          </w:p>
        </w:tc>
      </w:tr>
      <w:tr w14:paraId="14BFE219">
        <w:tblPrEx>
          <w:tblBorders>
            <w:top w:val="single" w:color="0B55C4" w:sz="6" w:space="0"/>
            <w:left w:val="single" w:color="0B55C4" w:sz="6" w:space="0"/>
            <w:bottom w:val="single" w:color="0B55C4" w:sz="6" w:space="0"/>
            <w:right w:val="single" w:color="0B55C4" w:sz="6" w:space="0"/>
            <w:insideH w:val="none" w:color="auto" w:sz="0" w:space="0"/>
            <w:insideV w:val="none" w:color="auto" w:sz="0" w:space="0"/>
          </w:tblBorders>
          <w:shd w:val="clear" w:color="auto" w:fill="EDF2F6"/>
          <w:tblCellMar>
            <w:top w:w="30" w:type="dxa"/>
            <w:left w:w="30" w:type="dxa"/>
            <w:bottom w:w="30" w:type="dxa"/>
            <w:right w:w="30" w:type="dxa"/>
          </w:tblCellMar>
        </w:tblPrEx>
        <w:tc>
          <w:tcPr>
            <w:tcW w:w="3134" w:type="dxa"/>
            <w:tcBorders>
              <w:top w:val="outset" w:color="auto" w:sz="6" w:space="0"/>
              <w:left w:val="outset" w:color="auto" w:sz="6" w:space="0"/>
              <w:bottom w:val="outset" w:color="auto" w:sz="6" w:space="0"/>
              <w:right w:val="outset" w:color="auto" w:sz="6" w:space="0"/>
            </w:tcBorders>
            <w:shd w:val="clear" w:color="auto" w:fill="auto"/>
          </w:tcPr>
          <w:p w14:paraId="5E044A79">
            <w:pPr>
              <w:jc w:val="center"/>
              <w:rPr>
                <w:sz w:val="28"/>
                <w:szCs w:val="28"/>
              </w:rPr>
            </w:pPr>
            <w:r>
              <w:rPr>
                <w:sz w:val="28"/>
                <w:szCs w:val="28"/>
              </w:rPr>
              <w:t>Всего</w:t>
            </w:r>
          </w:p>
        </w:tc>
        <w:tc>
          <w:tcPr>
            <w:tcW w:w="1984" w:type="dxa"/>
            <w:tcBorders>
              <w:top w:val="outset" w:color="auto" w:sz="6" w:space="0"/>
              <w:left w:val="outset" w:color="auto" w:sz="6" w:space="0"/>
              <w:bottom w:val="outset" w:color="auto" w:sz="6" w:space="0"/>
              <w:right w:val="outset" w:color="auto" w:sz="6" w:space="0"/>
            </w:tcBorders>
            <w:shd w:val="clear" w:color="auto" w:fill="auto"/>
          </w:tcPr>
          <w:p w14:paraId="65A9FBEA">
            <w:pPr>
              <w:jc w:val="center"/>
              <w:rPr>
                <w:sz w:val="28"/>
                <w:szCs w:val="28"/>
              </w:rPr>
            </w:pPr>
            <w:r>
              <w:rPr>
                <w:sz w:val="28"/>
                <w:szCs w:val="28"/>
              </w:rPr>
              <w:t>50993,8</w:t>
            </w:r>
          </w:p>
        </w:tc>
        <w:tc>
          <w:tcPr>
            <w:tcW w:w="1985" w:type="dxa"/>
            <w:tcBorders>
              <w:top w:val="outset" w:color="auto" w:sz="6" w:space="0"/>
              <w:left w:val="outset" w:color="auto" w:sz="6" w:space="0"/>
              <w:bottom w:val="outset" w:color="auto" w:sz="6" w:space="0"/>
              <w:right w:val="outset" w:color="auto" w:sz="6" w:space="0"/>
            </w:tcBorders>
            <w:shd w:val="clear" w:color="auto" w:fill="auto"/>
          </w:tcPr>
          <w:p w14:paraId="453238CB">
            <w:pPr>
              <w:jc w:val="center"/>
              <w:rPr>
                <w:sz w:val="28"/>
                <w:szCs w:val="28"/>
              </w:rPr>
            </w:pPr>
            <w:r>
              <w:rPr>
                <w:sz w:val="28"/>
                <w:szCs w:val="28"/>
              </w:rPr>
              <w:t>182,32</w:t>
            </w:r>
          </w:p>
        </w:tc>
        <w:tc>
          <w:tcPr>
            <w:tcW w:w="2268" w:type="dxa"/>
            <w:tcBorders>
              <w:top w:val="outset" w:color="auto" w:sz="6" w:space="0"/>
              <w:left w:val="outset" w:color="auto" w:sz="6" w:space="0"/>
              <w:bottom w:val="outset" w:color="auto" w:sz="6" w:space="0"/>
              <w:right w:val="outset" w:color="auto" w:sz="6" w:space="0"/>
            </w:tcBorders>
            <w:shd w:val="clear" w:color="auto" w:fill="auto"/>
          </w:tcPr>
          <w:p w14:paraId="32B99618">
            <w:pPr>
              <w:jc w:val="center"/>
              <w:rPr>
                <w:sz w:val="28"/>
                <w:szCs w:val="28"/>
              </w:rPr>
            </w:pPr>
            <w:r>
              <w:rPr>
                <w:sz w:val="28"/>
                <w:szCs w:val="28"/>
              </w:rPr>
              <w:t>0,72</w:t>
            </w:r>
          </w:p>
        </w:tc>
      </w:tr>
    </w:tbl>
    <w:p w14:paraId="2051A895">
      <w:pPr>
        <w:spacing w:line="360" w:lineRule="auto"/>
        <w:ind w:firstLine="709"/>
        <w:jc w:val="both"/>
        <w:rPr>
          <w:sz w:val="28"/>
          <w:szCs w:val="28"/>
        </w:rPr>
      </w:pPr>
    </w:p>
    <w:p w14:paraId="77BD2B40">
      <w:pPr>
        <w:spacing w:line="360" w:lineRule="auto"/>
        <w:ind w:firstLine="709"/>
        <w:jc w:val="both"/>
        <w:rPr>
          <w:sz w:val="28"/>
          <w:szCs w:val="28"/>
        </w:rPr>
      </w:pPr>
      <w:r>
        <w:rPr>
          <w:sz w:val="28"/>
          <w:szCs w:val="28"/>
        </w:rPr>
        <w:t>Наиболее перспективными для энергетического использования в республике считаются петротермальные ресурсы - огромные массивы гранитоидов, залегающих на глубине 4-6 км, нагретые от 70 до 3000С.</w:t>
      </w:r>
    </w:p>
    <w:p w14:paraId="2F312F43">
      <w:pPr>
        <w:spacing w:line="360" w:lineRule="auto"/>
        <w:ind w:firstLine="709"/>
        <w:jc w:val="both"/>
        <w:rPr>
          <w:sz w:val="28"/>
          <w:szCs w:val="28"/>
        </w:rPr>
      </w:pPr>
      <w:r>
        <w:rPr>
          <w:sz w:val="28"/>
          <w:szCs w:val="28"/>
        </w:rPr>
        <w:t>Для оценки валового потенциала были рассчитаны осредненные термограммы до глубины 3000 м с учетом средних статистических величин плотности теплового потока и теплопроводности горных пород. Расчеты показали, что валовой потенциал геотермальной энергии, заключенной в сухих нагретых породах (петротермальных ресурсов), в объеме, ограниченном глубиной 3 км и площадью Республики Узбекистан, составляет 6700000 млн. т н.э. Технические возможности использования петротермальных ресурсов не определены из-за отсутствия технологий. Необходимо отметить, что геотермальные воды имеются практически во всех регионах республики. Средняя по республике температура этих вод составляет 45,50С.</w:t>
      </w:r>
    </w:p>
    <w:p w14:paraId="0CEEDE4E">
      <w:pPr>
        <w:pStyle w:val="5"/>
        <w:shd w:val="clear" w:color="auto" w:fill="auto"/>
        <w:spacing w:line="360" w:lineRule="auto"/>
        <w:ind w:firstLine="709"/>
        <w:jc w:val="both"/>
        <w:rPr>
          <w:b w:val="0"/>
          <w:sz w:val="28"/>
          <w:szCs w:val="28"/>
        </w:rPr>
      </w:pPr>
      <w:r>
        <w:rPr>
          <w:color w:val="000000"/>
          <w:sz w:val="28"/>
          <w:szCs w:val="28"/>
          <w:lang w:eastAsia="ru-RU" w:bidi="ru-RU"/>
        </w:rPr>
        <w:t xml:space="preserve">Разработана Концепция </w:t>
      </w:r>
      <w:r>
        <w:rPr>
          <w:b w:val="0"/>
          <w:color w:val="000000"/>
          <w:sz w:val="28"/>
          <w:szCs w:val="28"/>
          <w:lang w:eastAsia="ru-RU" w:bidi="ru-RU"/>
        </w:rPr>
        <w:t xml:space="preserve">обеспечения Республики Узбекистан электрической энергией на 2020-2030 годы, показывающая основные направления развития государства в энергетической отрасли, </w:t>
      </w:r>
      <w:r>
        <w:rPr>
          <w:b w:val="0"/>
          <w:color w:val="000000"/>
          <w:sz w:val="28"/>
          <w:szCs w:val="28"/>
          <w:lang w:bidi="ru-RU"/>
        </w:rPr>
        <w:t>разработана в целях удовлетворения растущей потребности Республики Узбекистан и обеспечения дальнейшего сбалансированного развития электроэнергетической</w:t>
      </w:r>
      <w:r>
        <w:rPr>
          <w:b w:val="0"/>
          <w:color w:val="000000"/>
          <w:sz w:val="28"/>
          <w:szCs w:val="28"/>
          <w:lang w:bidi="ru-RU"/>
        </w:rPr>
        <w:tab/>
      </w:r>
      <w:r>
        <w:rPr>
          <w:b w:val="0"/>
          <w:color w:val="000000"/>
          <w:sz w:val="28"/>
          <w:szCs w:val="28"/>
          <w:lang w:bidi="ru-RU"/>
        </w:rPr>
        <w:t>отрасли с учетом передового мирового опыта и современных тенденций развития мировой электроэнергетики.</w:t>
      </w:r>
    </w:p>
    <w:p w14:paraId="42D31C52">
      <w:pPr>
        <w:spacing w:line="360" w:lineRule="auto"/>
        <w:ind w:firstLine="700"/>
        <w:jc w:val="both"/>
        <w:rPr>
          <w:sz w:val="28"/>
          <w:szCs w:val="28"/>
        </w:rPr>
      </w:pPr>
      <w:r>
        <w:rPr>
          <w:color w:val="000000"/>
          <w:sz w:val="28"/>
          <w:szCs w:val="28"/>
          <w:lang w:bidi="ru-RU"/>
        </w:rPr>
        <w:t>Концепция определяет цели и направления развития электроэнергетической отрасли страны на среднесрочную и долгосрочную перспективы, приоритеты и ориентиры, а также механизмы обеспечения эффективности государственной энергетической политики на отдельных этапах ее практической реализации, гарантирующие достижение намеченных целей.</w:t>
      </w:r>
    </w:p>
    <w:p w14:paraId="37F2424B">
      <w:pPr>
        <w:spacing w:line="360" w:lineRule="auto"/>
        <w:ind w:firstLine="700"/>
        <w:jc w:val="both"/>
        <w:rPr>
          <w:sz w:val="28"/>
          <w:szCs w:val="28"/>
        </w:rPr>
      </w:pPr>
      <w:r>
        <w:rPr>
          <w:color w:val="000000"/>
          <w:sz w:val="28"/>
          <w:szCs w:val="28"/>
          <w:lang w:bidi="ru-RU"/>
        </w:rPr>
        <w:t>В рамках настоящей Концепции представлены:</w:t>
      </w:r>
    </w:p>
    <w:p w14:paraId="63E5FC2E">
      <w:pPr>
        <w:spacing w:line="360" w:lineRule="auto"/>
        <w:ind w:firstLine="700"/>
        <w:jc w:val="both"/>
        <w:rPr>
          <w:sz w:val="28"/>
          <w:szCs w:val="28"/>
        </w:rPr>
      </w:pPr>
      <w:r>
        <w:rPr>
          <w:color w:val="000000"/>
          <w:sz w:val="28"/>
          <w:szCs w:val="28"/>
          <w:lang w:bidi="ru-RU"/>
        </w:rPr>
        <w:t>анализ текущей ситуации в электроэнергетической отрасли Республики Узбекистан;</w:t>
      </w:r>
    </w:p>
    <w:p w14:paraId="09084EC0">
      <w:pPr>
        <w:spacing w:line="360" w:lineRule="auto"/>
        <w:ind w:firstLine="700"/>
        <w:jc w:val="both"/>
        <w:rPr>
          <w:sz w:val="28"/>
          <w:szCs w:val="28"/>
        </w:rPr>
      </w:pPr>
      <w:r>
        <w:rPr>
          <w:color w:val="000000"/>
          <w:sz w:val="28"/>
          <w:szCs w:val="28"/>
          <w:lang w:bidi="ru-RU"/>
        </w:rPr>
        <w:t>перспективы спроса на электрическую энергию в республике;</w:t>
      </w:r>
    </w:p>
    <w:p w14:paraId="1EC1CDA8">
      <w:pPr>
        <w:spacing w:line="360" w:lineRule="auto"/>
        <w:ind w:firstLine="700"/>
        <w:jc w:val="both"/>
        <w:rPr>
          <w:sz w:val="28"/>
          <w:szCs w:val="28"/>
        </w:rPr>
      </w:pPr>
      <w:r>
        <w:rPr>
          <w:color w:val="000000"/>
          <w:sz w:val="28"/>
          <w:szCs w:val="28"/>
          <w:lang w:bidi="ru-RU"/>
        </w:rPr>
        <w:t>основные положения государственной энергетической политики и ее важнейших составляющих;</w:t>
      </w:r>
    </w:p>
    <w:p w14:paraId="0BFB5876">
      <w:pPr>
        <w:spacing w:line="360" w:lineRule="auto"/>
        <w:ind w:firstLine="700"/>
        <w:jc w:val="both"/>
        <w:rPr>
          <w:sz w:val="28"/>
          <w:szCs w:val="28"/>
        </w:rPr>
      </w:pPr>
      <w:r>
        <w:rPr>
          <w:color w:val="000000"/>
          <w:sz w:val="28"/>
          <w:szCs w:val="28"/>
          <w:lang w:bidi="ru-RU"/>
        </w:rPr>
        <w:t>перспективы развития электроэнергетической отрасли Республики Узбекистан;</w:t>
      </w:r>
    </w:p>
    <w:p w14:paraId="447D63B6">
      <w:pPr>
        <w:spacing w:line="360" w:lineRule="auto"/>
        <w:ind w:firstLine="700"/>
        <w:jc w:val="both"/>
        <w:rPr>
          <w:sz w:val="28"/>
          <w:szCs w:val="28"/>
        </w:rPr>
      </w:pPr>
      <w:r>
        <w:rPr>
          <w:color w:val="000000"/>
          <w:sz w:val="28"/>
          <w:szCs w:val="28"/>
          <w:lang w:bidi="ru-RU"/>
        </w:rPr>
        <w:t>план действий по реализации настоящей Концепции и ожидаемые результаты.</w:t>
      </w:r>
    </w:p>
    <w:p w14:paraId="1967037A">
      <w:pPr>
        <w:spacing w:line="360" w:lineRule="auto"/>
        <w:ind w:firstLine="700"/>
        <w:jc w:val="both"/>
        <w:rPr>
          <w:sz w:val="28"/>
          <w:szCs w:val="28"/>
        </w:rPr>
      </w:pPr>
      <w:r>
        <w:rPr>
          <w:color w:val="000000"/>
          <w:sz w:val="28"/>
          <w:szCs w:val="28"/>
          <w:lang w:bidi="ru-RU"/>
        </w:rPr>
        <w:t>В Концепции используются следующие понятия:</w:t>
      </w:r>
    </w:p>
    <w:p w14:paraId="1FFD284E">
      <w:pPr>
        <w:spacing w:line="360" w:lineRule="auto"/>
        <w:ind w:firstLine="700"/>
        <w:jc w:val="both"/>
        <w:rPr>
          <w:sz w:val="28"/>
          <w:szCs w:val="28"/>
        </w:rPr>
      </w:pPr>
      <w:r>
        <w:rPr>
          <w:color w:val="000000"/>
          <w:sz w:val="28"/>
          <w:szCs w:val="28"/>
          <w:lang w:bidi="ru-RU"/>
        </w:rPr>
        <w:t>АСКУЭ - автоматизированная система контроля и учета электрической энергии;</w:t>
      </w:r>
    </w:p>
    <w:p w14:paraId="4DFFE8AA">
      <w:pPr>
        <w:spacing w:line="360" w:lineRule="auto"/>
        <w:ind w:firstLine="700"/>
        <w:jc w:val="both"/>
        <w:rPr>
          <w:sz w:val="28"/>
          <w:szCs w:val="28"/>
        </w:rPr>
      </w:pPr>
      <w:r>
        <w:rPr>
          <w:color w:val="000000"/>
          <w:sz w:val="28"/>
          <w:szCs w:val="28"/>
          <w:lang w:bidi="ru-RU"/>
        </w:rPr>
        <w:t>АЭС - атомная электростанция;</w:t>
      </w:r>
    </w:p>
    <w:p w14:paraId="6D8DA1AA">
      <w:pPr>
        <w:spacing w:line="360" w:lineRule="auto"/>
        <w:ind w:firstLine="700"/>
        <w:jc w:val="both"/>
        <w:rPr>
          <w:sz w:val="28"/>
          <w:szCs w:val="28"/>
        </w:rPr>
      </w:pPr>
      <w:r>
        <w:rPr>
          <w:color w:val="000000"/>
          <w:sz w:val="28"/>
          <w:szCs w:val="28"/>
          <w:lang w:bidi="ru-RU"/>
        </w:rPr>
        <w:t>ВИЭ - возобновляемые источники энергии;</w:t>
      </w:r>
    </w:p>
    <w:p w14:paraId="6D7FE3C7">
      <w:pPr>
        <w:spacing w:line="360" w:lineRule="auto"/>
        <w:ind w:firstLine="700"/>
        <w:jc w:val="both"/>
        <w:rPr>
          <w:sz w:val="28"/>
          <w:szCs w:val="28"/>
        </w:rPr>
      </w:pPr>
      <w:r>
        <w:rPr>
          <w:color w:val="000000"/>
          <w:sz w:val="28"/>
          <w:szCs w:val="28"/>
          <w:lang w:bidi="ru-RU"/>
        </w:rPr>
        <w:t>ВЭС - ветряная электростанция;</w:t>
      </w:r>
    </w:p>
    <w:p w14:paraId="5E522E38">
      <w:pPr>
        <w:spacing w:line="360" w:lineRule="auto"/>
        <w:ind w:firstLine="700"/>
        <w:jc w:val="both"/>
        <w:rPr>
          <w:sz w:val="28"/>
          <w:szCs w:val="28"/>
        </w:rPr>
      </w:pPr>
      <w:r>
        <w:rPr>
          <w:color w:val="000000"/>
          <w:sz w:val="28"/>
          <w:szCs w:val="28"/>
          <w:lang w:bidi="ru-RU"/>
        </w:rPr>
        <w:t>ГАЭС - гидроаккумулирующая электростанция;</w:t>
      </w:r>
    </w:p>
    <w:p w14:paraId="11C40DF6">
      <w:pPr>
        <w:spacing w:line="360" w:lineRule="auto"/>
        <w:ind w:firstLine="700"/>
        <w:jc w:val="both"/>
        <w:rPr>
          <w:sz w:val="28"/>
          <w:szCs w:val="28"/>
        </w:rPr>
      </w:pPr>
      <w:r>
        <w:rPr>
          <w:color w:val="000000"/>
          <w:sz w:val="28"/>
          <w:szCs w:val="28"/>
          <w:lang w:bidi="ru-RU"/>
        </w:rPr>
        <w:t>ГТУ - газотурбинная установка;</w:t>
      </w:r>
    </w:p>
    <w:p w14:paraId="29585442">
      <w:pPr>
        <w:spacing w:line="360" w:lineRule="auto"/>
        <w:ind w:firstLine="700"/>
        <w:jc w:val="both"/>
        <w:rPr>
          <w:sz w:val="28"/>
          <w:szCs w:val="28"/>
        </w:rPr>
      </w:pPr>
      <w:r>
        <w:rPr>
          <w:color w:val="000000"/>
          <w:sz w:val="28"/>
          <w:szCs w:val="28"/>
          <w:lang w:bidi="ru-RU"/>
        </w:rPr>
        <w:t>ГЧП - государственно-частное партнерство;</w:t>
      </w:r>
    </w:p>
    <w:p w14:paraId="3CA5432A">
      <w:pPr>
        <w:spacing w:line="360" w:lineRule="auto"/>
        <w:ind w:firstLine="700"/>
        <w:jc w:val="both"/>
        <w:rPr>
          <w:sz w:val="28"/>
          <w:szCs w:val="28"/>
        </w:rPr>
      </w:pPr>
      <w:r>
        <w:rPr>
          <w:color w:val="000000"/>
          <w:sz w:val="28"/>
          <w:szCs w:val="28"/>
          <w:lang w:bidi="ru-RU"/>
        </w:rPr>
        <w:t>ГЭС - гидроэлектростанция;</w:t>
      </w:r>
    </w:p>
    <w:p w14:paraId="2B0E7E45">
      <w:pPr>
        <w:spacing w:line="360" w:lineRule="auto"/>
        <w:ind w:firstLine="700"/>
        <w:jc w:val="both"/>
        <w:rPr>
          <w:sz w:val="28"/>
          <w:szCs w:val="28"/>
        </w:rPr>
      </w:pPr>
      <w:r>
        <w:rPr>
          <w:color w:val="000000"/>
          <w:sz w:val="28"/>
          <w:szCs w:val="28"/>
          <w:lang w:bidi="ru-RU"/>
        </w:rPr>
        <w:t>КПД - коэффициент полезного действия;</w:t>
      </w:r>
    </w:p>
    <w:p w14:paraId="660EF900">
      <w:pPr>
        <w:spacing w:line="360" w:lineRule="auto"/>
        <w:ind w:firstLine="700"/>
        <w:jc w:val="both"/>
        <w:rPr>
          <w:sz w:val="28"/>
          <w:szCs w:val="28"/>
        </w:rPr>
      </w:pPr>
      <w:r>
        <w:rPr>
          <w:color w:val="000000"/>
          <w:sz w:val="28"/>
          <w:szCs w:val="28"/>
          <w:lang w:bidi="ru-RU"/>
        </w:rPr>
        <w:t>ЛЭП - линия электропередачи;</w:t>
      </w:r>
    </w:p>
    <w:p w14:paraId="67737054">
      <w:pPr>
        <w:spacing w:line="360" w:lineRule="auto"/>
        <w:ind w:firstLine="700"/>
        <w:jc w:val="both"/>
        <w:rPr>
          <w:sz w:val="28"/>
          <w:szCs w:val="28"/>
        </w:rPr>
      </w:pPr>
      <w:r>
        <w:rPr>
          <w:color w:val="000000"/>
          <w:sz w:val="28"/>
          <w:szCs w:val="28"/>
          <w:lang w:bidi="ru-RU"/>
        </w:rPr>
        <w:t>МГЭС - малая гидроэлектростанция;</w:t>
      </w:r>
    </w:p>
    <w:p w14:paraId="52A945F8">
      <w:pPr>
        <w:spacing w:line="360" w:lineRule="auto"/>
        <w:ind w:firstLine="700"/>
        <w:jc w:val="both"/>
        <w:rPr>
          <w:sz w:val="28"/>
          <w:szCs w:val="28"/>
        </w:rPr>
      </w:pPr>
      <w:r>
        <w:rPr>
          <w:color w:val="000000"/>
          <w:sz w:val="28"/>
          <w:szCs w:val="28"/>
          <w:lang w:bidi="ru-RU"/>
        </w:rPr>
        <w:t>ПГУ - парогазовая установка;</w:t>
      </w:r>
    </w:p>
    <w:p w14:paraId="42EE13CF">
      <w:pPr>
        <w:spacing w:line="360" w:lineRule="auto"/>
        <w:ind w:firstLine="700"/>
        <w:jc w:val="both"/>
        <w:rPr>
          <w:sz w:val="28"/>
          <w:szCs w:val="28"/>
        </w:rPr>
      </w:pPr>
      <w:r>
        <w:rPr>
          <w:color w:val="000000"/>
          <w:sz w:val="28"/>
          <w:szCs w:val="28"/>
          <w:lang w:bidi="ru-RU"/>
        </w:rPr>
        <w:t>ПС - подстанция;</w:t>
      </w:r>
    </w:p>
    <w:p w14:paraId="427AC870">
      <w:pPr>
        <w:spacing w:line="360" w:lineRule="auto"/>
        <w:ind w:firstLine="700"/>
        <w:jc w:val="both"/>
        <w:rPr>
          <w:sz w:val="28"/>
          <w:szCs w:val="28"/>
        </w:rPr>
      </w:pPr>
      <w:r>
        <w:rPr>
          <w:color w:val="000000"/>
          <w:sz w:val="28"/>
          <w:szCs w:val="28"/>
          <w:lang w:bidi="ru-RU"/>
        </w:rPr>
        <w:t>ТП - трансформаторный пункт;</w:t>
      </w:r>
    </w:p>
    <w:p w14:paraId="7B683B2A">
      <w:pPr>
        <w:spacing w:line="360" w:lineRule="auto"/>
        <w:ind w:firstLine="700"/>
        <w:jc w:val="both"/>
        <w:rPr>
          <w:sz w:val="28"/>
          <w:szCs w:val="28"/>
        </w:rPr>
      </w:pPr>
      <w:r>
        <w:rPr>
          <w:color w:val="000000"/>
          <w:sz w:val="28"/>
          <w:szCs w:val="28"/>
          <w:lang w:bidi="ru-RU"/>
        </w:rPr>
        <w:t>ТЭС - тепловая электрическая станция;</w:t>
      </w:r>
    </w:p>
    <w:p w14:paraId="68B2A939">
      <w:pPr>
        <w:spacing w:line="360" w:lineRule="auto"/>
        <w:ind w:firstLine="700"/>
        <w:jc w:val="both"/>
        <w:rPr>
          <w:sz w:val="28"/>
          <w:szCs w:val="28"/>
        </w:rPr>
      </w:pPr>
      <w:r>
        <w:rPr>
          <w:color w:val="000000"/>
          <w:sz w:val="28"/>
          <w:szCs w:val="28"/>
          <w:lang w:bidi="ru-RU"/>
        </w:rPr>
        <w:t>ТЭЦ - тепловая электроцентраль;</w:t>
      </w:r>
    </w:p>
    <w:p w14:paraId="2912F05C">
      <w:pPr>
        <w:spacing w:line="360" w:lineRule="auto"/>
        <w:ind w:firstLine="700"/>
        <w:jc w:val="both"/>
        <w:rPr>
          <w:sz w:val="28"/>
          <w:szCs w:val="28"/>
        </w:rPr>
      </w:pPr>
      <w:r>
        <w:rPr>
          <w:color w:val="000000"/>
          <w:sz w:val="28"/>
          <w:szCs w:val="28"/>
          <w:lang w:bidi="ru-RU"/>
        </w:rPr>
        <w:t>ФЭС - фотоэлектрическая станция.</w:t>
      </w:r>
    </w:p>
    <w:p w14:paraId="569BCE8A">
      <w:pPr>
        <w:pStyle w:val="5"/>
        <w:shd w:val="clear" w:color="auto" w:fill="auto"/>
        <w:spacing w:line="360" w:lineRule="auto"/>
        <w:ind w:firstLine="700"/>
        <w:jc w:val="both"/>
        <w:rPr>
          <w:sz w:val="28"/>
          <w:szCs w:val="28"/>
        </w:rPr>
      </w:pPr>
      <w:r>
        <w:rPr>
          <w:color w:val="000000"/>
          <w:sz w:val="28"/>
          <w:szCs w:val="28"/>
          <w:lang w:eastAsia="ru-RU" w:bidi="ru-RU"/>
        </w:rPr>
        <w:t>Анализ текущей ситуации</w:t>
      </w:r>
    </w:p>
    <w:p w14:paraId="324F6B29">
      <w:pPr>
        <w:spacing w:line="360" w:lineRule="auto"/>
        <w:ind w:firstLine="700"/>
        <w:jc w:val="both"/>
        <w:rPr>
          <w:sz w:val="28"/>
          <w:szCs w:val="28"/>
        </w:rPr>
      </w:pPr>
      <w:r>
        <w:rPr>
          <w:color w:val="000000"/>
          <w:sz w:val="28"/>
          <w:szCs w:val="28"/>
          <w:lang w:bidi="ru-RU"/>
        </w:rPr>
        <w:t>В настоящее время располагаемая генерирующая мощность республики составляет 12,9 ГВт, из них:</w:t>
      </w:r>
    </w:p>
    <w:p w14:paraId="2BCED45E">
      <w:pPr>
        <w:spacing w:line="360" w:lineRule="auto"/>
        <w:ind w:firstLine="700"/>
        <w:jc w:val="both"/>
        <w:rPr>
          <w:sz w:val="28"/>
          <w:szCs w:val="28"/>
        </w:rPr>
      </w:pPr>
      <w:r>
        <w:rPr>
          <w:color w:val="000000"/>
          <w:sz w:val="28"/>
          <w:szCs w:val="28"/>
          <w:lang w:bidi="ru-RU"/>
        </w:rPr>
        <w:t>ТЭС - 11 тыс. МВт или 84,7 процентов;</w:t>
      </w:r>
    </w:p>
    <w:p w14:paraId="38B5F723">
      <w:pPr>
        <w:spacing w:line="360" w:lineRule="auto"/>
        <w:ind w:firstLine="700"/>
        <w:jc w:val="both"/>
        <w:rPr>
          <w:sz w:val="28"/>
          <w:szCs w:val="28"/>
        </w:rPr>
      </w:pPr>
      <w:r>
        <w:rPr>
          <w:color w:val="000000"/>
          <w:sz w:val="28"/>
          <w:szCs w:val="28"/>
          <w:lang w:bidi="ru-RU"/>
        </w:rPr>
        <w:t>ГЭС - 1,85 тыс. МВт или 14,3 процента;</w:t>
      </w:r>
    </w:p>
    <w:p w14:paraId="37D6BD27">
      <w:pPr>
        <w:spacing w:line="360" w:lineRule="auto"/>
        <w:ind w:firstLine="700"/>
        <w:jc w:val="both"/>
        <w:rPr>
          <w:sz w:val="28"/>
          <w:szCs w:val="28"/>
        </w:rPr>
      </w:pPr>
      <w:r>
        <w:rPr>
          <w:color w:val="000000"/>
          <w:sz w:val="28"/>
          <w:szCs w:val="28"/>
          <w:lang w:bidi="ru-RU"/>
        </w:rPr>
        <w:t>блок-станции и изолированные станции - более 133 МВт или 1 процент.</w:t>
      </w:r>
    </w:p>
    <w:p w14:paraId="442346ED">
      <w:pPr>
        <w:framePr w:w="9649" w:h="3600" w:wrap="notBeside" w:vAnchor="text" w:hAnchor="page" w:x="1357" w:y="203"/>
        <w:spacing w:line="360" w:lineRule="auto"/>
        <w:jc w:val="center"/>
        <w:rPr>
          <w:sz w:val="28"/>
          <w:szCs w:val="28"/>
        </w:rPr>
      </w:pP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"C:\\Users\\user\\AppData\\Local\\Temp\\ABBYY\\PDFTransformer\\12.00\\media\\image1.jpeg"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"C:\\Users\\HP\\Desktop\\AppData\\Local\\Temp\\ABBYY\\PDFTransformer\\12.00\\media\\image1.jpeg"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"C:\\диск D\\рецензии и методички\\AppData\\Local\\Temp\\ABBYY\\PDFTransformer\\12.00\\media\\image1.jpeg" \* MERGEFORMATINET </w:instrText>
      </w:r>
      <w:r>
        <w:rPr>
          <w:sz w:val="28"/>
          <w:szCs w:val="28"/>
        </w:rPr>
        <w:fldChar w:fldCharType="separate"/>
      </w:r>
      <w:r>
        <w:rPr>
          <w:sz w:val="28"/>
          <w:szCs w:val="28"/>
        </w:rPr>
        <w:fldChar w:fldCharType="begin"/>
      </w:r>
      <w:r>
        <w:rPr>
          <w:sz w:val="28"/>
          <w:szCs w:val="28"/>
        </w:rPr>
        <w:instrText xml:space="preserve"> INCLUDEPICTURE  "C:\\диск D\\рецензии и методички\\AppData\\Local\\Temp\\ABBYY\\PDFTransformer\\12.00\\media\\image1.jpeg" \* MERGEFORMATINET </w:instrText>
      </w:r>
      <w:r>
        <w:rPr>
          <w:sz w:val="28"/>
          <w:szCs w:val="28"/>
        </w:rPr>
        <w:fldChar w:fldCharType="separate"/>
      </w:r>
      <w:r>
        <w:rPr>
          <w:sz w:val="28"/>
          <w:szCs w:val="28"/>
        </w:rPr>
        <w:drawing>
          <wp:inline distT="0" distB="0" distL="114300" distR="114300">
            <wp:extent cx="3581400" cy="1927860"/>
            <wp:effectExtent l="0" t="0" r="0" b="762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6" r:link="rId7"/>
                    <a:stretch>
                      <a:fillRect/>
                    </a:stretch>
                  </pic:blipFill>
                  <pic:spPr>
                    <a:xfrm>
                      <a:off x="0" y="0"/>
                      <a:ext cx="3581400" cy="1927860"/>
                    </a:xfrm>
                    <a:prstGeom prst="rect">
                      <a:avLst/>
                    </a:prstGeom>
                    <a:noFill/>
                    <a:ln>
                      <a:noFill/>
                    </a:ln>
                  </pic:spPr>
                </pic:pic>
              </a:graphicData>
            </a:graphic>
          </wp:inline>
        </w:drawing>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p>
    <w:p w14:paraId="1864D00F">
      <w:pPr>
        <w:framePr w:w="9649" w:h="3600" w:wrap="notBeside" w:vAnchor="text" w:hAnchor="page" w:x="1357" w:y="203"/>
        <w:spacing w:line="360" w:lineRule="auto"/>
        <w:jc w:val="center"/>
        <w:rPr>
          <w:sz w:val="28"/>
          <w:szCs w:val="28"/>
        </w:rPr>
      </w:pPr>
      <w:r>
        <w:rPr>
          <w:rStyle w:val="6"/>
          <w:color w:val="8497B0" w:themeColor="text2" w:themeTint="99"/>
          <w:sz w:val="28"/>
          <w:szCs w:val="28"/>
          <w14:textFill>
            <w14:solidFill>
              <w14:schemeClr w14:val="tx2">
                <w14:lumMod w14:val="60000"/>
                <w14:lumOff w14:val="40000"/>
              </w14:schemeClr>
            </w14:solidFill>
          </w14:textFill>
        </w:rPr>
        <w:t xml:space="preserve">■ </w:t>
      </w:r>
      <w:r>
        <w:rPr>
          <w:rStyle w:val="6"/>
          <w:color w:val="auto"/>
          <w:sz w:val="28"/>
          <w:szCs w:val="28"/>
        </w:rPr>
        <w:t xml:space="preserve">ТЭС и ТЭЦ </w:t>
      </w:r>
      <w:r>
        <w:rPr>
          <w:rStyle w:val="6"/>
          <w:color w:val="548235" w:themeColor="accent6" w:themeShade="BF"/>
          <w:sz w:val="28"/>
          <w:szCs w:val="28"/>
        </w:rPr>
        <w:t xml:space="preserve">■ </w:t>
      </w:r>
      <w:r>
        <w:rPr>
          <w:rStyle w:val="6"/>
          <w:color w:val="auto"/>
          <w:sz w:val="28"/>
          <w:szCs w:val="28"/>
        </w:rPr>
        <w:t xml:space="preserve">ГЭС </w:t>
      </w:r>
      <w:r>
        <w:rPr>
          <w:rStyle w:val="6"/>
          <w:color w:val="808080" w:themeColor="background1" w:themeShade="80"/>
          <w:sz w:val="28"/>
          <w:szCs w:val="28"/>
        </w:rPr>
        <w:t xml:space="preserve">■ </w:t>
      </w:r>
      <w:r>
        <w:rPr>
          <w:rStyle w:val="6"/>
          <w:color w:val="auto"/>
          <w:sz w:val="28"/>
          <w:szCs w:val="28"/>
        </w:rPr>
        <w:t>Блокстанции</w:t>
      </w:r>
    </w:p>
    <w:p w14:paraId="6E8EA0BE">
      <w:pPr>
        <w:pStyle w:val="7"/>
        <w:framePr w:w="9649" w:h="3600" w:wrap="notBeside" w:vAnchor="text" w:hAnchor="page" w:x="1357" w:y="203"/>
        <w:shd w:val="clear" w:color="auto" w:fill="auto"/>
        <w:spacing w:line="360" w:lineRule="auto"/>
        <w:rPr>
          <w:b w:val="0"/>
          <w:sz w:val="28"/>
          <w:szCs w:val="28"/>
        </w:rPr>
      </w:pPr>
      <w:r>
        <w:rPr>
          <w:b w:val="0"/>
          <w:color w:val="000000"/>
          <w:sz w:val="28"/>
          <w:szCs w:val="28"/>
          <w:lang w:eastAsia="ru-RU" w:bidi="ru-RU"/>
        </w:rPr>
        <w:t>Рисунок 1.1 - Структура генерации электрической энергии</w:t>
      </w:r>
    </w:p>
    <w:p w14:paraId="70B99C4C">
      <w:pPr>
        <w:spacing w:line="360" w:lineRule="auto"/>
        <w:ind w:firstLine="700"/>
        <w:jc w:val="both"/>
        <w:rPr>
          <w:sz w:val="28"/>
          <w:szCs w:val="28"/>
        </w:rPr>
      </w:pPr>
      <w:r>
        <w:rPr>
          <w:sz w:val="28"/>
          <w:szCs w:val="28"/>
          <w:lang w:bidi="ru-RU"/>
        </w:rPr>
        <w:t>Основным источником генерации являются 11 ТЭС, в том числе 3 ТЭЦ. Мощность современных энергоэффективных энергоблоков составляет 2825 МВт или 25,6 процентов от общей мощности ТЭС.</w:t>
      </w:r>
    </w:p>
    <w:p w14:paraId="1BADF271">
      <w:pPr>
        <w:spacing w:line="360" w:lineRule="auto"/>
        <w:ind w:firstLine="700"/>
        <w:jc w:val="both"/>
        <w:rPr>
          <w:sz w:val="28"/>
          <w:szCs w:val="28"/>
        </w:rPr>
      </w:pPr>
      <w:r>
        <w:rPr>
          <w:sz w:val="28"/>
          <w:szCs w:val="28"/>
          <w:lang w:bidi="ru-RU"/>
        </w:rPr>
        <w:t>В 2019 году на ТЭС выработано 89,6 процентов электрической энергии от общей выработанной внутри республики. При этом суммарная мощность энергоблоков, работающих в часы максимальных нагрузок единой электроэнергетической системы составила 8,6 тыс.МВт.</w:t>
      </w:r>
    </w:p>
    <w:p w14:paraId="7B3AA300">
      <w:pPr>
        <w:spacing w:line="360" w:lineRule="auto"/>
        <w:ind w:firstLine="700"/>
        <w:jc w:val="both"/>
        <w:rPr>
          <w:sz w:val="28"/>
          <w:szCs w:val="28"/>
        </w:rPr>
      </w:pPr>
      <w:r>
        <w:rPr>
          <w:sz w:val="28"/>
          <w:szCs w:val="28"/>
          <w:lang w:bidi="ru-RU"/>
        </w:rPr>
        <w:t xml:space="preserve">Гидроэнергетика включает 42 ГЭС, в том числе 12 крупных, общей мощностью 1,68 ГВт (90,8 процентов от общей мощности ГЭС), 28 МГЭС, общей мощностью 0,25 ГВт (13,5 процентов) и 2 микроГЭС, общей мощностью 0,5 </w:t>
      </w:r>
      <w:r>
        <w:rPr>
          <w:color w:val="000000"/>
          <w:sz w:val="28"/>
          <w:szCs w:val="28"/>
          <w:lang w:bidi="ru-RU"/>
        </w:rPr>
        <w:t>МВт. По водотоку работают 30 ГЭС мощностью 532 МВт (4 крупных - 317 МВт и 26 МГЭС- 215 МВт). При водохранилищах имеется 10 ГЭС суммарной мощностью 1,4 ГВт. Коэффициент использования гидропотенциала республики составляет 27 процентов.</w:t>
      </w:r>
    </w:p>
    <w:p w14:paraId="138C41EC">
      <w:pPr>
        <w:framePr w:h="4003" w:wrap="notBeside" w:vAnchor="text" w:hAnchor="text" w:xAlign="center" w:y="1"/>
        <w:spacing w:line="360" w:lineRule="auto"/>
        <w:jc w:val="center"/>
        <w:rPr>
          <w:sz w:val="28"/>
          <w:szCs w:val="28"/>
        </w:rPr>
      </w:pP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"C:\\Users\\user\\AppData\\Local\\Temp\\ABBYY\\PDFTransformer\\12.00\\media\\image2.jpeg"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"C:\\Users\\HP\\Desktop\\AppData\\Local\\Temp\\ABBYY\\PDFTransformer\\12.00\\media\\image2.jpeg"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"C:\\диск D\\рецензии и методички\\AppData\\Local\\Temp\\ABBYY\\PDFTransformer\\12.00\\media\\image2.jpeg" \* MERGEFORMATINET </w:instrText>
      </w:r>
      <w:r>
        <w:rPr>
          <w:sz w:val="28"/>
          <w:szCs w:val="28"/>
        </w:rPr>
        <w:fldChar w:fldCharType="separate"/>
      </w:r>
      <w:r>
        <w:rPr>
          <w:sz w:val="28"/>
          <w:szCs w:val="28"/>
        </w:rPr>
        <w:fldChar w:fldCharType="begin"/>
      </w:r>
      <w:r>
        <w:rPr>
          <w:sz w:val="28"/>
          <w:szCs w:val="28"/>
        </w:rPr>
        <w:instrText xml:space="preserve"> INCLUDEPICTURE  "C:\\диск D\\рецензии и методички\\AppData\\Local\\Temp\\ABBYY\\PDFTransformer\\12.00\\media\\image2.jpeg" \* MERGEFORMATINET </w:instrText>
      </w:r>
      <w:r>
        <w:rPr>
          <w:sz w:val="28"/>
          <w:szCs w:val="28"/>
        </w:rPr>
        <w:fldChar w:fldCharType="separate"/>
      </w:r>
      <w:r>
        <w:rPr>
          <w:sz w:val="28"/>
          <w:szCs w:val="28"/>
        </w:rPr>
        <w:drawing>
          <wp:inline distT="0" distB="0" distL="114300" distR="114300">
            <wp:extent cx="2750820" cy="2286000"/>
            <wp:effectExtent l="0" t="0" r="7620" b="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8" r:link="rId9"/>
                    <a:stretch>
                      <a:fillRect/>
                    </a:stretch>
                  </pic:blipFill>
                  <pic:spPr>
                    <a:xfrm>
                      <a:off x="0" y="0"/>
                      <a:ext cx="2750820" cy="2286000"/>
                    </a:xfrm>
                    <a:prstGeom prst="rect">
                      <a:avLst/>
                    </a:prstGeom>
                    <a:noFill/>
                    <a:ln>
                      <a:noFill/>
                    </a:ln>
                  </pic:spPr>
                </pic:pic>
              </a:graphicData>
            </a:graphic>
          </wp:inline>
        </w:drawing>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p>
    <w:p w14:paraId="06C9A539">
      <w:pPr>
        <w:framePr w:h="4003" w:wrap="notBeside" w:vAnchor="text" w:hAnchor="text" w:xAlign="center" w:y="1"/>
        <w:spacing w:line="360" w:lineRule="auto"/>
        <w:jc w:val="center"/>
        <w:rPr>
          <w:sz w:val="28"/>
          <w:szCs w:val="28"/>
        </w:rPr>
      </w:pPr>
      <w:r>
        <w:rPr>
          <w:rStyle w:val="6"/>
          <w:color w:val="8497B0" w:themeColor="text2" w:themeTint="99"/>
          <w:sz w:val="28"/>
          <w:szCs w:val="28"/>
          <w14:textFill>
            <w14:solidFill>
              <w14:schemeClr w14:val="tx2">
                <w14:lumMod w14:val="60000"/>
                <w14:lumOff w14:val="40000"/>
              </w14:schemeClr>
            </w14:solidFill>
          </w14:textFill>
        </w:rPr>
        <w:t xml:space="preserve">■ </w:t>
      </w:r>
      <w:r>
        <w:rPr>
          <w:rStyle w:val="6"/>
          <w:color w:val="auto"/>
          <w:sz w:val="28"/>
          <w:szCs w:val="28"/>
        </w:rPr>
        <w:t xml:space="preserve">Крупные ГЭС </w:t>
      </w:r>
      <w:r>
        <w:rPr>
          <w:rStyle w:val="6"/>
          <w:color w:val="548235" w:themeColor="accent6" w:themeShade="BF"/>
          <w:sz w:val="28"/>
          <w:szCs w:val="28"/>
        </w:rPr>
        <w:t xml:space="preserve">■ </w:t>
      </w:r>
      <w:r>
        <w:rPr>
          <w:rStyle w:val="6"/>
          <w:color w:val="auto"/>
          <w:sz w:val="28"/>
          <w:szCs w:val="28"/>
        </w:rPr>
        <w:t xml:space="preserve">МГЭС </w:t>
      </w:r>
      <w:r>
        <w:rPr>
          <w:rStyle w:val="6"/>
          <w:color w:val="808080" w:themeColor="background1" w:themeShade="80"/>
          <w:sz w:val="28"/>
          <w:szCs w:val="28"/>
        </w:rPr>
        <w:t xml:space="preserve">■ </w:t>
      </w:r>
      <w:r>
        <w:rPr>
          <w:rStyle w:val="6"/>
          <w:color w:val="auto"/>
          <w:sz w:val="28"/>
          <w:szCs w:val="28"/>
        </w:rPr>
        <w:t>МикроГЭС</w:t>
      </w:r>
    </w:p>
    <w:p w14:paraId="00D42ED0">
      <w:pPr>
        <w:pStyle w:val="8"/>
        <w:shd w:val="clear" w:color="auto" w:fill="auto"/>
        <w:spacing w:before="0" w:line="360" w:lineRule="auto"/>
        <w:ind w:firstLine="0"/>
        <w:jc w:val="center"/>
        <w:rPr>
          <w:b w:val="0"/>
          <w:sz w:val="28"/>
          <w:szCs w:val="28"/>
        </w:rPr>
      </w:pPr>
      <w:r>
        <w:rPr>
          <w:b w:val="0"/>
          <w:color w:val="000000"/>
          <w:sz w:val="28"/>
          <w:szCs w:val="28"/>
          <w:lang w:eastAsia="ru-RU" w:bidi="ru-RU"/>
        </w:rPr>
        <w:t>Рисунок 1.2 - Структура ГЭС</w:t>
      </w:r>
    </w:p>
    <w:p w14:paraId="67149064">
      <w:pPr>
        <w:spacing w:line="360" w:lineRule="auto"/>
        <w:ind w:firstLine="700"/>
        <w:jc w:val="both"/>
        <w:rPr>
          <w:sz w:val="28"/>
          <w:szCs w:val="28"/>
        </w:rPr>
      </w:pPr>
      <w:r>
        <w:rPr>
          <w:color w:val="000000"/>
          <w:sz w:val="28"/>
          <w:szCs w:val="28"/>
          <w:lang w:bidi="ru-RU"/>
        </w:rPr>
        <w:t>Транспортировка электрической энергии от источников генерации осуществляется по магистральным сетям 35-500 кВ, включающим в себя:</w:t>
      </w:r>
    </w:p>
    <w:p w14:paraId="1AF43A54">
      <w:pPr>
        <w:spacing w:line="360" w:lineRule="auto"/>
        <w:ind w:firstLine="700"/>
        <w:jc w:val="both"/>
        <w:rPr>
          <w:sz w:val="28"/>
          <w:szCs w:val="28"/>
        </w:rPr>
      </w:pPr>
      <w:r>
        <w:rPr>
          <w:color w:val="000000"/>
          <w:sz w:val="28"/>
          <w:szCs w:val="28"/>
          <w:lang w:bidi="ru-RU"/>
        </w:rPr>
        <w:t>ПС - 77 ед. общей мощностью - 22 830 МВА;</w:t>
      </w:r>
    </w:p>
    <w:p w14:paraId="266E59F8">
      <w:pPr>
        <w:spacing w:line="360" w:lineRule="auto"/>
        <w:ind w:firstLine="700"/>
        <w:jc w:val="both"/>
        <w:rPr>
          <w:sz w:val="28"/>
          <w:szCs w:val="28"/>
        </w:rPr>
      </w:pPr>
      <w:r>
        <w:rPr>
          <w:color w:val="000000"/>
          <w:sz w:val="28"/>
          <w:szCs w:val="28"/>
          <w:lang w:bidi="ru-RU"/>
        </w:rPr>
        <w:t>ЛЭП - 9 768 км.</w:t>
      </w:r>
    </w:p>
    <w:p w14:paraId="727E546F">
      <w:pPr>
        <w:spacing w:line="360" w:lineRule="auto"/>
        <w:ind w:firstLine="700"/>
        <w:jc w:val="both"/>
        <w:rPr>
          <w:sz w:val="28"/>
          <w:szCs w:val="28"/>
        </w:rPr>
      </w:pPr>
      <w:r>
        <w:rPr>
          <w:color w:val="000000"/>
          <w:sz w:val="28"/>
          <w:szCs w:val="28"/>
          <w:lang w:bidi="ru-RU"/>
        </w:rPr>
        <w:t>Распределение и поставка электрической энергии потребителям внутри республики осуществляется по распределительным сетям 0,4-110 кВ, включающим в себя:</w:t>
      </w:r>
    </w:p>
    <w:p w14:paraId="737A2241">
      <w:pPr>
        <w:spacing w:line="360" w:lineRule="auto"/>
        <w:ind w:firstLine="700"/>
        <w:jc w:val="both"/>
        <w:rPr>
          <w:sz w:val="28"/>
          <w:szCs w:val="28"/>
        </w:rPr>
      </w:pPr>
      <w:r>
        <w:rPr>
          <w:color w:val="000000"/>
          <w:sz w:val="28"/>
          <w:szCs w:val="28"/>
          <w:lang w:bidi="ru-RU"/>
        </w:rPr>
        <w:t>ПС 35-110 кВ - 1 626 ед. общей мощностью - 20 421 МВА;</w:t>
      </w:r>
    </w:p>
    <w:p w14:paraId="2F81023D">
      <w:pPr>
        <w:spacing w:line="360" w:lineRule="auto"/>
        <w:ind w:firstLine="700"/>
        <w:jc w:val="both"/>
        <w:rPr>
          <w:sz w:val="28"/>
          <w:szCs w:val="28"/>
        </w:rPr>
      </w:pPr>
      <w:r>
        <w:rPr>
          <w:color w:val="000000"/>
          <w:sz w:val="28"/>
          <w:szCs w:val="28"/>
          <w:lang w:bidi="ru-RU"/>
        </w:rPr>
        <w:t>ЛЭП 35-110 кВ - 28 642 км;</w:t>
      </w:r>
    </w:p>
    <w:p w14:paraId="033FA3EC">
      <w:pPr>
        <w:spacing w:line="360" w:lineRule="auto"/>
        <w:ind w:firstLine="700"/>
        <w:jc w:val="both"/>
        <w:rPr>
          <w:sz w:val="28"/>
          <w:szCs w:val="28"/>
        </w:rPr>
      </w:pPr>
      <w:r>
        <w:rPr>
          <w:color w:val="000000"/>
          <w:sz w:val="28"/>
          <w:szCs w:val="28"/>
          <w:lang w:bidi="ru-RU"/>
        </w:rPr>
        <w:t>ТП - 75 534ед. общей мощностью - 13 933 МВА;</w:t>
      </w:r>
    </w:p>
    <w:p w14:paraId="3B804C55">
      <w:pPr>
        <w:spacing w:line="360" w:lineRule="auto"/>
        <w:ind w:firstLine="700"/>
        <w:jc w:val="both"/>
        <w:rPr>
          <w:sz w:val="28"/>
          <w:szCs w:val="28"/>
        </w:rPr>
      </w:pPr>
      <w:r>
        <w:rPr>
          <w:color w:val="000000"/>
          <w:sz w:val="28"/>
          <w:szCs w:val="28"/>
          <w:lang w:bidi="ru-RU"/>
        </w:rPr>
        <w:t>ЛЭП 0,4-10 кВ - 223 987 км.</w:t>
      </w:r>
    </w:p>
    <w:p w14:paraId="43FD2A2E">
      <w:pPr>
        <w:spacing w:line="360" w:lineRule="auto"/>
        <w:ind w:firstLine="700"/>
        <w:jc w:val="both"/>
        <w:rPr>
          <w:sz w:val="28"/>
          <w:szCs w:val="28"/>
        </w:rPr>
      </w:pPr>
      <w:r>
        <w:rPr>
          <w:color w:val="000000"/>
          <w:sz w:val="28"/>
          <w:szCs w:val="28"/>
          <w:lang w:bidi="ru-RU"/>
        </w:rPr>
        <w:t>При этом у значительной части объектов электросетевого хозяйства сроки эксплуатации превысили отметку 30 лет, к таким относятся 66 процентов магистральных и 62 процента распределительных сетей, 74 процента подстанций и более 50 процентов трансформаторных пунктов. Это является одним из факторов, способствующих росту уровня технологических потерь электрической энергии при её транспортировке и распределении.</w:t>
      </w:r>
    </w:p>
    <w:p w14:paraId="6247F443">
      <w:pPr>
        <w:spacing w:line="360" w:lineRule="auto"/>
        <w:ind w:firstLine="700"/>
        <w:jc w:val="both"/>
        <w:rPr>
          <w:color w:val="000000"/>
          <w:sz w:val="28"/>
          <w:szCs w:val="28"/>
          <w:lang w:bidi="ru-RU"/>
        </w:rPr>
      </w:pPr>
      <w:r>
        <w:rPr>
          <w:color w:val="000000"/>
          <w:sz w:val="28"/>
          <w:szCs w:val="28"/>
          <w:lang w:bidi="ru-RU"/>
        </w:rPr>
        <w:t>Средний уровень технологических потерь электрической энергии в магистральных сетях составляет 2,72 процентов, в распределительных сетях 12,47 процентов.</w:t>
      </w:r>
    </w:p>
    <w:p w14:paraId="7D72881A">
      <w:pPr>
        <w:spacing w:line="360" w:lineRule="auto"/>
        <w:jc w:val="center"/>
        <w:rPr>
          <w:sz w:val="28"/>
          <w:szCs w:val="28"/>
        </w:rPr>
      </w:pPr>
      <w:r>
        <w:drawing>
          <wp:inline distT="0" distB="0" distL="0" distR="0">
            <wp:extent cx="5880735" cy="2092325"/>
            <wp:effectExtent l="0" t="0" r="1905" b="107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0"/>
                    <a:stretch>
                      <a:fillRect/>
                    </a:stretch>
                  </pic:blipFill>
                  <pic:spPr>
                    <a:xfrm>
                      <a:off x="0" y="0"/>
                      <a:ext cx="5926691" cy="2108813"/>
                    </a:xfrm>
                    <a:prstGeom prst="rect">
                      <a:avLst/>
                    </a:prstGeom>
                  </pic:spPr>
                </pic:pic>
              </a:graphicData>
            </a:graphic>
          </wp:inline>
        </w:drawing>
      </w:r>
    </w:p>
    <w:p w14:paraId="2DDC3E83">
      <w:pPr>
        <w:pStyle w:val="7"/>
        <w:shd w:val="clear" w:color="auto" w:fill="auto"/>
        <w:spacing w:after="26"/>
        <w:ind w:left="20"/>
        <w:rPr>
          <w:rStyle w:val="9"/>
          <w:b w:val="0"/>
          <w:bCs w:val="0"/>
          <w:sz w:val="28"/>
          <w:szCs w:val="28"/>
        </w:rPr>
      </w:pPr>
      <w:r>
        <w:rPr>
          <w:rStyle w:val="9"/>
          <w:b w:val="0"/>
          <w:bCs w:val="0"/>
          <w:sz w:val="28"/>
          <w:szCs w:val="28"/>
        </w:rPr>
        <w:t>Рисунок 1.3 - Состояние электрических сетей</w:t>
      </w:r>
    </w:p>
    <w:p w14:paraId="7557052C">
      <w:pPr>
        <w:pStyle w:val="7"/>
        <w:shd w:val="clear" w:color="auto" w:fill="auto"/>
        <w:spacing w:after="26"/>
        <w:ind w:left="20"/>
        <w:rPr>
          <w:sz w:val="28"/>
          <w:szCs w:val="28"/>
        </w:rPr>
      </w:pPr>
    </w:p>
    <w:p w14:paraId="266E642B">
      <w:pPr>
        <w:pStyle w:val="10"/>
        <w:shd w:val="clear" w:color="auto" w:fill="auto"/>
        <w:spacing w:line="360" w:lineRule="auto"/>
        <w:rPr>
          <w:sz w:val="28"/>
          <w:szCs w:val="28"/>
        </w:rPr>
      </w:pPr>
      <w:r>
        <w:rPr>
          <w:rStyle w:val="11"/>
          <w:sz w:val="28"/>
          <w:szCs w:val="28"/>
        </w:rPr>
        <w:t>Электроэнергетическая система республики условно разделена на 5 территориальных энергоузлов:</w:t>
      </w:r>
    </w:p>
    <w:p w14:paraId="740590C5">
      <w:pPr>
        <w:pStyle w:val="10"/>
        <w:shd w:val="clear" w:color="auto" w:fill="auto"/>
        <w:spacing w:line="360" w:lineRule="auto"/>
        <w:rPr>
          <w:sz w:val="28"/>
          <w:szCs w:val="28"/>
        </w:rPr>
      </w:pPr>
      <w:r>
        <w:rPr>
          <w:rStyle w:val="11"/>
          <w:sz w:val="28"/>
          <w:szCs w:val="28"/>
        </w:rPr>
        <w:t>Северо-Западный (Республика Каракалпакстан и Хорезмская область);</w:t>
      </w:r>
    </w:p>
    <w:p w14:paraId="148FDCE4">
      <w:pPr>
        <w:pStyle w:val="10"/>
        <w:shd w:val="clear" w:color="auto" w:fill="auto"/>
        <w:spacing w:line="360" w:lineRule="auto"/>
        <w:rPr>
          <w:sz w:val="28"/>
          <w:szCs w:val="28"/>
        </w:rPr>
      </w:pPr>
      <w:r>
        <w:rPr>
          <w:rStyle w:val="11"/>
          <w:sz w:val="28"/>
          <w:szCs w:val="28"/>
        </w:rPr>
        <w:t>Юго-Западный (Кашкадарьинская, Самаркандская, Бухарская и Навоийская области);</w:t>
      </w:r>
    </w:p>
    <w:p w14:paraId="6E19CC1A">
      <w:pPr>
        <w:pStyle w:val="10"/>
        <w:shd w:val="clear" w:color="auto" w:fill="auto"/>
        <w:spacing w:line="360" w:lineRule="auto"/>
        <w:rPr>
          <w:sz w:val="28"/>
          <w:szCs w:val="28"/>
        </w:rPr>
      </w:pPr>
      <w:r>
        <w:rPr>
          <w:rStyle w:val="11"/>
          <w:sz w:val="28"/>
          <w:szCs w:val="28"/>
        </w:rPr>
        <w:t>Южный (Сурхандарьинская область);</w:t>
      </w:r>
    </w:p>
    <w:p w14:paraId="6EB7E0E7">
      <w:pPr>
        <w:pStyle w:val="10"/>
        <w:shd w:val="clear" w:color="auto" w:fill="auto"/>
        <w:spacing w:line="360" w:lineRule="auto"/>
        <w:rPr>
          <w:sz w:val="28"/>
          <w:szCs w:val="28"/>
        </w:rPr>
      </w:pPr>
      <w:r>
        <w:rPr>
          <w:rStyle w:val="11"/>
          <w:sz w:val="28"/>
          <w:szCs w:val="28"/>
        </w:rPr>
        <w:t>Восточный (Андижанская, Наманганская и Ферганская области);</w:t>
      </w:r>
    </w:p>
    <w:p w14:paraId="1F3BE7A5">
      <w:pPr>
        <w:pStyle w:val="10"/>
        <w:shd w:val="clear" w:color="auto" w:fill="auto"/>
        <w:spacing w:line="360" w:lineRule="auto"/>
        <w:rPr>
          <w:sz w:val="28"/>
          <w:szCs w:val="28"/>
        </w:rPr>
      </w:pPr>
      <w:r>
        <w:rPr>
          <w:rStyle w:val="11"/>
          <w:sz w:val="28"/>
          <w:szCs w:val="28"/>
        </w:rPr>
        <w:t>Центральный (Джизакская, Сырдарьинская, Ташкентская области и г.Ташкент).</w:t>
      </w:r>
    </w:p>
    <w:p w14:paraId="583263CE">
      <w:pPr>
        <w:pStyle w:val="10"/>
        <w:shd w:val="clear" w:color="auto" w:fill="auto"/>
        <w:spacing w:line="360" w:lineRule="auto"/>
        <w:rPr>
          <w:sz w:val="28"/>
          <w:szCs w:val="28"/>
        </w:rPr>
      </w:pPr>
      <w:r>
        <w:rPr>
          <w:rStyle w:val="11"/>
          <w:sz w:val="28"/>
          <w:szCs w:val="28"/>
        </w:rPr>
        <w:t>Максимальная нагрузка в часы пикового потребления электрической энергии в зимний период 2019 года составила 10,4 тыс. МВт, разница между минимальной и максимальной нагрузкой составила 2,3 тыс. МВт. При этом в летний период 2019 года пиковый показатель достиг 9,4 тыс. МВт с разницей между минимальной нагрузкой на 2,6 тыс. МВт.</w:t>
      </w:r>
    </w:p>
    <w:p w14:paraId="202BBEE3">
      <w:pPr>
        <w:pStyle w:val="12"/>
        <w:shd w:val="clear" w:color="auto" w:fill="auto"/>
        <w:spacing w:before="0" w:line="360" w:lineRule="auto"/>
        <w:jc w:val="center"/>
        <w:rPr>
          <w:sz w:val="28"/>
          <w:szCs w:val="28"/>
        </w:rPr>
      </w:pPr>
      <w:r>
        <w:rPr>
          <w:lang w:eastAsia="ru-RU"/>
        </w:rPr>
        <w:drawing>
          <wp:inline distT="0" distB="0" distL="0" distR="0">
            <wp:extent cx="5859145" cy="1775460"/>
            <wp:effectExtent l="0" t="0" r="8255" b="762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pic:cNvPicPr>
                      <a:picLocks noChangeAspect="1"/>
                    </pic:cNvPicPr>
                  </pic:nvPicPr>
                  <pic:blipFill>
                    <a:blip r:embed="rId11"/>
                    <a:stretch>
                      <a:fillRect/>
                    </a:stretch>
                  </pic:blipFill>
                  <pic:spPr>
                    <a:xfrm>
                      <a:off x="0" y="0"/>
                      <a:ext cx="5879306" cy="1782007"/>
                    </a:xfrm>
                    <a:prstGeom prst="rect">
                      <a:avLst/>
                    </a:prstGeom>
                  </pic:spPr>
                </pic:pic>
              </a:graphicData>
            </a:graphic>
          </wp:inline>
        </w:drawing>
      </w:r>
    </w:p>
    <w:p w14:paraId="4946D744">
      <w:pPr>
        <w:spacing w:line="360" w:lineRule="auto"/>
        <w:jc w:val="center"/>
        <w:rPr>
          <w:bCs/>
          <w:sz w:val="28"/>
          <w:szCs w:val="28"/>
        </w:rPr>
      </w:pPr>
      <w:r>
        <w:rPr>
          <w:sz w:val="28"/>
          <w:szCs w:val="28"/>
        </w:rPr>
        <w:t>Рисунок 1.4 - Минимальные и максимальные нагрузки зимнего и летного периода 2019г.</w:t>
      </w:r>
    </w:p>
    <w:p w14:paraId="3DBD2C83">
      <w:pPr>
        <w:spacing w:line="360" w:lineRule="auto"/>
        <w:ind w:firstLine="700"/>
        <w:jc w:val="both"/>
        <w:rPr>
          <w:sz w:val="28"/>
          <w:szCs w:val="28"/>
        </w:rPr>
      </w:pPr>
      <w:r>
        <w:rPr>
          <w:color w:val="000000"/>
          <w:sz w:val="28"/>
          <w:szCs w:val="28"/>
          <w:lang w:bidi="ru-RU"/>
        </w:rPr>
        <w:t>Вместе с тем, существующий недостаток регулирующих мощностей приводит к ежедневным дополнительным перезапускам энергоблоков ТЭС, соответственно к перерасходу топлива и дополнительному износу технологического оборудования.</w:t>
      </w:r>
    </w:p>
    <w:p w14:paraId="1D616B25">
      <w:pPr>
        <w:spacing w:line="360" w:lineRule="auto"/>
        <w:ind w:firstLine="700"/>
        <w:jc w:val="both"/>
        <w:rPr>
          <w:sz w:val="28"/>
          <w:szCs w:val="28"/>
        </w:rPr>
      </w:pPr>
      <w:r>
        <w:rPr>
          <w:color w:val="000000"/>
          <w:sz w:val="28"/>
          <w:szCs w:val="28"/>
          <w:lang w:bidi="ru-RU"/>
        </w:rPr>
        <w:t>В то же время существует ряд проблем, основными из которых являются:</w:t>
      </w:r>
    </w:p>
    <w:p w14:paraId="3D581DD8">
      <w:pPr>
        <w:spacing w:line="360" w:lineRule="auto"/>
        <w:ind w:firstLine="700"/>
        <w:jc w:val="both"/>
        <w:rPr>
          <w:sz w:val="28"/>
          <w:szCs w:val="28"/>
        </w:rPr>
      </w:pPr>
      <w:r>
        <w:rPr>
          <w:color w:val="000000"/>
          <w:sz w:val="28"/>
          <w:szCs w:val="28"/>
          <w:lang w:bidi="ru-RU"/>
        </w:rPr>
        <w:t>- низкий КПД (25-35 процентов) введенных более 25 лет назад энергоблоков ТЭС и высокий удельный расход топлива по сравнению с современными ПГУ (в 2 раза);</w:t>
      </w:r>
    </w:p>
    <w:p w14:paraId="787DB22B">
      <w:pPr>
        <w:spacing w:line="360" w:lineRule="auto"/>
        <w:ind w:firstLine="700"/>
        <w:jc w:val="both"/>
        <w:rPr>
          <w:sz w:val="28"/>
          <w:szCs w:val="28"/>
        </w:rPr>
      </w:pPr>
      <w:r>
        <w:rPr>
          <w:color w:val="000000"/>
          <w:sz w:val="28"/>
          <w:szCs w:val="28"/>
          <w:lang w:bidi="ru-RU"/>
        </w:rPr>
        <w:t>- высокий уровень износа распределительных сетей и трансформаторов, что приводит к перебоям в снабжении и ухудшению показателей качества электрической энергии;</w:t>
      </w:r>
    </w:p>
    <w:p w14:paraId="09291F80">
      <w:pPr>
        <w:spacing w:line="360" w:lineRule="auto"/>
        <w:ind w:firstLine="700"/>
        <w:jc w:val="both"/>
        <w:rPr>
          <w:sz w:val="28"/>
          <w:szCs w:val="28"/>
        </w:rPr>
      </w:pPr>
      <w:r>
        <w:rPr>
          <w:color w:val="000000"/>
          <w:sz w:val="28"/>
          <w:szCs w:val="28"/>
          <w:lang w:bidi="ru-RU"/>
        </w:rPr>
        <w:t>- низкая пропускная способность значительной части действующих ЛЭП и трансформаторов ограничивает возможность поставки электрической энергии потребителям в требуемых объемах;</w:t>
      </w:r>
    </w:p>
    <w:p w14:paraId="09AA18FE">
      <w:pPr>
        <w:spacing w:line="360" w:lineRule="auto"/>
        <w:ind w:firstLine="700"/>
        <w:jc w:val="both"/>
        <w:rPr>
          <w:sz w:val="28"/>
          <w:szCs w:val="28"/>
        </w:rPr>
      </w:pPr>
      <w:r>
        <w:rPr>
          <w:color w:val="000000"/>
          <w:sz w:val="28"/>
          <w:szCs w:val="28"/>
          <w:lang w:bidi="ru-RU"/>
        </w:rPr>
        <w:t>- низкий уровень автоматизации и цифровизации объектов электроэнергетики негативно влияет на возможность предотвращения и быстрой ликвидации технологических нарушений.</w:t>
      </w:r>
    </w:p>
    <w:p w14:paraId="5D8D712F">
      <w:pPr>
        <w:spacing w:line="360" w:lineRule="auto"/>
        <w:ind w:firstLine="700"/>
        <w:jc w:val="both"/>
        <w:rPr>
          <w:sz w:val="28"/>
          <w:szCs w:val="28"/>
        </w:rPr>
      </w:pPr>
      <w:r>
        <w:rPr>
          <w:color w:val="000000"/>
          <w:sz w:val="28"/>
          <w:szCs w:val="28"/>
          <w:lang w:bidi="ru-RU"/>
        </w:rPr>
        <w:t>Несмотря на наличие огромного потенциала солнечной энергии, в республике не имеется солнечных ФЭС промышленного масштаба. При этом ветровой потенциал республики изучен недостаточно и как следствие ветропарки промышленного масштаба отсутствуют.</w:t>
      </w:r>
    </w:p>
    <w:p w14:paraId="163BF8A9">
      <w:pPr>
        <w:spacing w:line="360" w:lineRule="auto"/>
        <w:ind w:firstLine="700"/>
        <w:jc w:val="both"/>
        <w:rPr>
          <w:sz w:val="28"/>
          <w:szCs w:val="28"/>
        </w:rPr>
      </w:pPr>
      <w:r>
        <w:rPr>
          <w:color w:val="000000"/>
          <w:sz w:val="28"/>
          <w:szCs w:val="28"/>
          <w:lang w:bidi="ru-RU"/>
        </w:rPr>
        <w:t>Вместе с тем, в республике принимаются меры по формированию законодательной базы для развития данного сегмента энергетики. Так, были приняты Законы Республики Узбекистан «Об использовании возобновляемых источников энергии» и «О государственно-частном партнерстве», а также утвержден «Регламент подключения к единой электроэнергетической системе субъектов предпринимательства, производящих электрическую энергию, в том числе из возобновляемых источников энергии».</w:t>
      </w:r>
    </w:p>
    <w:p w14:paraId="15BF240B">
      <w:pPr>
        <w:spacing w:line="360" w:lineRule="auto"/>
        <w:ind w:firstLine="700"/>
        <w:jc w:val="both"/>
        <w:rPr>
          <w:sz w:val="28"/>
          <w:szCs w:val="28"/>
        </w:rPr>
      </w:pPr>
      <w:r>
        <w:rPr>
          <w:color w:val="000000"/>
          <w:sz w:val="28"/>
          <w:szCs w:val="28"/>
          <w:lang w:bidi="ru-RU"/>
        </w:rPr>
        <w:t>В настоящее время начаты работы по двум пилотным проектам по строительству солнечных ФЭС мощностью по 100 МВт каждый в Самаркандской и Навоийской областях на условиях ГЧП. В соответствии с Соглашениями в 2021 году компании - инвесторы завершат строительство и введут в эксплуатацию ФЭС.</w:t>
      </w:r>
    </w:p>
    <w:p w14:paraId="60D679C2">
      <w:pPr>
        <w:pStyle w:val="5"/>
        <w:shd w:val="clear" w:color="auto" w:fill="auto"/>
        <w:spacing w:line="360" w:lineRule="auto"/>
        <w:rPr>
          <w:color w:val="000000"/>
          <w:sz w:val="28"/>
          <w:szCs w:val="28"/>
          <w:lang w:eastAsia="ru-RU" w:bidi="ru-RU"/>
        </w:rPr>
      </w:pPr>
      <w:r>
        <w:rPr>
          <w:color w:val="000000"/>
          <w:sz w:val="28"/>
          <w:szCs w:val="28"/>
          <w:lang w:eastAsia="ru-RU" w:bidi="ru-RU"/>
        </w:rPr>
        <w:t>Прогноз динамики и структуры спроса к 2030 году</w:t>
      </w:r>
    </w:p>
    <w:p w14:paraId="1F09F76C">
      <w:pPr>
        <w:spacing w:line="360" w:lineRule="auto"/>
        <w:ind w:firstLine="700"/>
        <w:jc w:val="both"/>
        <w:rPr>
          <w:sz w:val="28"/>
          <w:szCs w:val="28"/>
        </w:rPr>
      </w:pPr>
      <w:r>
        <w:rPr>
          <w:color w:val="000000"/>
          <w:sz w:val="28"/>
          <w:szCs w:val="28"/>
          <w:lang w:bidi="ru-RU"/>
        </w:rPr>
        <w:t>Внутренний спрос на энергоресурсы определяется ожидаемой динамикой экономического развития, изменениями в структуре экономики и уровне ее удельной энергоемкости.</w:t>
      </w:r>
    </w:p>
    <w:p w14:paraId="5C65ABF2">
      <w:pPr>
        <w:spacing w:line="360" w:lineRule="auto"/>
        <w:ind w:firstLine="700"/>
        <w:jc w:val="both"/>
        <w:rPr>
          <w:sz w:val="28"/>
          <w:szCs w:val="28"/>
        </w:rPr>
      </w:pPr>
      <w:r>
        <w:rPr>
          <w:color w:val="000000"/>
          <w:sz w:val="28"/>
          <w:szCs w:val="28"/>
          <w:lang w:bidi="ru-RU"/>
        </w:rPr>
        <w:t>Снижение удельной энергоемкости экономики является основной задачей энергетической политики Узбекистана, без решения которой энергетический сектор неизбежно будет сдерживать социально-экономическое развитие страны.</w:t>
      </w:r>
    </w:p>
    <w:p w14:paraId="43824838">
      <w:pPr>
        <w:spacing w:line="360" w:lineRule="auto"/>
        <w:ind w:firstLine="700"/>
        <w:jc w:val="both"/>
        <w:rPr>
          <w:color w:val="000000"/>
          <w:sz w:val="28"/>
          <w:szCs w:val="28"/>
          <w:lang w:bidi="ru-RU"/>
        </w:rPr>
      </w:pPr>
      <w:r>
        <w:rPr>
          <w:color w:val="000000"/>
          <w:sz w:val="28"/>
          <w:szCs w:val="28"/>
          <w:lang w:bidi="ru-RU"/>
        </w:rPr>
        <w:t>В период с 2012 по 2019 годы наблюдался рост производства электрической энергии на уровне в среднем 2,6 процента в год. Однако, спрос на электрическую энергию удовлетворялся не в полном объеме, дефицит составлял</w:t>
      </w:r>
      <w:r>
        <w:rPr>
          <w:rFonts w:ascii="Times New Roman CYR" w:hAnsi="Times New Roman CYR" w:cs="Times New Roman CYR" w:eastAsiaTheme="minorHAnsi"/>
          <w:color w:val="000000"/>
          <w:sz w:val="28"/>
          <w:szCs w:val="28"/>
          <w:lang w:eastAsia="en-US"/>
        </w:rPr>
        <w:t xml:space="preserve"> </w:t>
      </w:r>
      <w:r>
        <w:rPr>
          <w:color w:val="000000"/>
          <w:sz w:val="28"/>
          <w:szCs w:val="28"/>
          <w:lang w:bidi="ru-RU"/>
        </w:rPr>
        <w:t xml:space="preserve">порядка 9,4 процента от потребности. </w:t>
      </w:r>
    </w:p>
    <w:p w14:paraId="781955FF">
      <w:pPr>
        <w:spacing w:line="360" w:lineRule="auto"/>
        <w:jc w:val="center"/>
        <w:rPr>
          <w:color w:val="000000"/>
          <w:sz w:val="28"/>
          <w:szCs w:val="28"/>
          <w:lang w:bidi="ru-RU"/>
        </w:rPr>
      </w:pPr>
      <w:r>
        <w:rPr>
          <w:color w:val="000000"/>
          <w:sz w:val="28"/>
          <w:szCs w:val="28"/>
        </w:rPr>
        <w:drawing>
          <wp:inline distT="0" distB="0" distL="0" distR="0">
            <wp:extent cx="5890260" cy="2467610"/>
            <wp:effectExtent l="0" t="0" r="7620" b="127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32248" cy="2485299"/>
                    </a:xfrm>
                    <a:prstGeom prst="rect">
                      <a:avLst/>
                    </a:prstGeom>
                    <a:noFill/>
                  </pic:spPr>
                </pic:pic>
              </a:graphicData>
            </a:graphic>
          </wp:inline>
        </w:drawing>
      </w:r>
    </w:p>
    <w:p w14:paraId="7F0506AD">
      <w:pPr>
        <w:spacing w:line="360" w:lineRule="auto"/>
        <w:ind w:firstLine="700"/>
        <w:jc w:val="center"/>
        <w:rPr>
          <w:b/>
          <w:bCs/>
          <w:color w:val="000000"/>
          <w:sz w:val="28"/>
          <w:szCs w:val="28"/>
          <w:lang w:bidi="ru-RU"/>
        </w:rPr>
      </w:pPr>
      <w:r>
        <w:rPr>
          <w:color w:val="000000"/>
          <w:sz w:val="28"/>
          <w:szCs w:val="28"/>
          <w:lang w:bidi="ru-RU"/>
        </w:rPr>
        <w:t>Рисунок 1.5 - Фактическая динамика производства и потребности в электрической энергии в период 2012-2019 гг.</w:t>
      </w:r>
    </w:p>
    <w:p w14:paraId="7EDE228A">
      <w:pPr>
        <w:spacing w:line="360" w:lineRule="auto"/>
        <w:ind w:firstLine="700"/>
        <w:jc w:val="both"/>
        <w:rPr>
          <w:color w:val="000000"/>
          <w:sz w:val="28"/>
          <w:szCs w:val="28"/>
          <w:lang w:bidi="ru-RU"/>
        </w:rPr>
      </w:pPr>
      <w:r>
        <w:rPr>
          <w:color w:val="000000"/>
          <w:sz w:val="28"/>
          <w:szCs w:val="28"/>
          <w:lang w:bidi="ru-RU"/>
        </w:rPr>
        <w:t>Прогнозная оценка показывает, что в период до 2030 года ежегодный рост потребления электрической энергии по республике будет составлять порядка 6-7 процентов.</w:t>
      </w:r>
    </w:p>
    <w:p w14:paraId="2AE0068A">
      <w:pPr>
        <w:spacing w:line="360" w:lineRule="auto"/>
        <w:ind w:firstLine="700"/>
        <w:jc w:val="both"/>
        <w:rPr>
          <w:color w:val="000000"/>
          <w:sz w:val="28"/>
          <w:szCs w:val="28"/>
          <w:lang w:bidi="ru-RU"/>
        </w:rPr>
      </w:pPr>
      <w:r>
        <w:rPr>
          <w:color w:val="000000"/>
          <w:sz w:val="28"/>
          <w:szCs w:val="28"/>
          <w:lang w:bidi="ru-RU"/>
        </w:rPr>
        <w:t>К 2030 году республиканское потребление прогнозно составит 120,8 млрд.кВт.ч (рост в 1,9 раза к 2018г.). При этом потребность населения в электрической энергии составит - 21,9 млрд.кВт.ч (рост в 1,8 раза к 2018г.), отраслей экономики - 85,0 млрд.кВт.ч (рост в 2,2 раза к 2018г.).</w:t>
      </w:r>
    </w:p>
    <w:p w14:paraId="6F67A017">
      <w:pPr>
        <w:spacing w:line="360" w:lineRule="auto"/>
        <w:jc w:val="center"/>
        <w:rPr>
          <w:sz w:val="28"/>
          <w:szCs w:val="28"/>
        </w:rPr>
      </w:pPr>
      <w:r>
        <w:drawing>
          <wp:inline distT="0" distB="0" distL="0" distR="0">
            <wp:extent cx="5820410" cy="2713355"/>
            <wp:effectExtent l="0" t="0" r="1270" b="1460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07"/>
                    <pic:cNvPicPr>
                      <a:picLocks noChangeAspect="1"/>
                    </pic:cNvPicPr>
                  </pic:nvPicPr>
                  <pic:blipFill>
                    <a:blip r:embed="rId13"/>
                    <a:stretch>
                      <a:fillRect/>
                    </a:stretch>
                  </pic:blipFill>
                  <pic:spPr>
                    <a:xfrm>
                      <a:off x="0" y="0"/>
                      <a:ext cx="5858054" cy="2731444"/>
                    </a:xfrm>
                    <a:prstGeom prst="rect">
                      <a:avLst/>
                    </a:prstGeom>
                  </pic:spPr>
                </pic:pic>
              </a:graphicData>
            </a:graphic>
          </wp:inline>
        </w:drawing>
      </w:r>
      <w:r>
        <w:rPr>
          <w:color w:val="000000"/>
          <w:sz w:val="28"/>
          <w:szCs w:val="28"/>
          <w:lang w:bidi="ru-RU"/>
        </w:rPr>
        <w:t>Рисунок 1.6 - Прогнозная динамика производства и потребления</w:t>
      </w:r>
      <w:r>
        <w:rPr>
          <w:color w:val="000000"/>
          <w:sz w:val="28"/>
          <w:szCs w:val="28"/>
          <w:lang w:bidi="ru-RU"/>
        </w:rPr>
        <w:br w:type="textWrapping"/>
      </w:r>
      <w:r>
        <w:rPr>
          <w:color w:val="000000"/>
          <w:sz w:val="28"/>
          <w:szCs w:val="28"/>
          <w:lang w:bidi="ru-RU"/>
        </w:rPr>
        <w:t>электрической энергии до 2030 г., млрд.кВт.ч.</w:t>
      </w:r>
    </w:p>
    <w:p w14:paraId="757588E4">
      <w:pPr>
        <w:spacing w:line="360" w:lineRule="auto"/>
        <w:ind w:firstLine="700"/>
        <w:jc w:val="both"/>
        <w:rPr>
          <w:color w:val="000000"/>
          <w:sz w:val="28"/>
          <w:szCs w:val="28"/>
          <w:lang w:bidi="ru-RU"/>
        </w:rPr>
      </w:pPr>
      <w:r>
        <w:rPr>
          <w:color w:val="000000"/>
          <w:sz w:val="28"/>
          <w:szCs w:val="28"/>
          <w:lang w:bidi="ru-RU"/>
        </w:rPr>
        <w:t>Потребление электрической энергии на душу населения к 2030 году по прогнозным данным увеличится до 2665 кВт.ч. в год и по сравнению с фактически достигнутым в 2018 году в размере 1903 кВт.ч. увеличится на 71,4 процентов. При этом, данный показатель значительно ниже аналогичного, отмеченного по итогам 2018 года в таких странах как Корея - 9711, КНР - 4292, Россия - 6257, Казахстан - 5133, Турция - 2637 кВт.ч.</w:t>
      </w:r>
    </w:p>
    <w:p w14:paraId="39117A74">
      <w:pPr>
        <w:spacing w:line="360" w:lineRule="auto"/>
        <w:jc w:val="center"/>
        <w:rPr>
          <w:color w:val="000000"/>
          <w:sz w:val="28"/>
          <w:szCs w:val="28"/>
          <w:lang w:bidi="ru-RU"/>
        </w:rPr>
      </w:pPr>
      <w:r>
        <w:drawing>
          <wp:inline distT="0" distB="0" distL="0" distR="0">
            <wp:extent cx="5821680" cy="2021840"/>
            <wp:effectExtent l="0" t="0" r="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8"/>
                    <pic:cNvPicPr>
                      <a:picLocks noChangeAspect="1"/>
                    </pic:cNvPicPr>
                  </pic:nvPicPr>
                  <pic:blipFill>
                    <a:blip r:embed="rId14"/>
                    <a:stretch>
                      <a:fillRect/>
                    </a:stretch>
                  </pic:blipFill>
                  <pic:spPr>
                    <a:xfrm>
                      <a:off x="0" y="0"/>
                      <a:ext cx="5836212" cy="2027278"/>
                    </a:xfrm>
                    <a:prstGeom prst="rect">
                      <a:avLst/>
                    </a:prstGeom>
                  </pic:spPr>
                </pic:pic>
              </a:graphicData>
            </a:graphic>
          </wp:inline>
        </w:drawing>
      </w:r>
    </w:p>
    <w:p w14:paraId="6E939612">
      <w:pPr>
        <w:pStyle w:val="8"/>
        <w:shd w:val="clear" w:color="auto" w:fill="auto"/>
        <w:spacing w:before="0" w:line="360" w:lineRule="auto"/>
        <w:ind w:firstLine="0"/>
        <w:jc w:val="center"/>
        <w:rPr>
          <w:b w:val="0"/>
          <w:sz w:val="28"/>
          <w:szCs w:val="28"/>
        </w:rPr>
      </w:pPr>
      <w:r>
        <w:rPr>
          <w:b w:val="0"/>
          <w:color w:val="000000"/>
          <w:sz w:val="28"/>
          <w:szCs w:val="28"/>
          <w:lang w:eastAsia="ru-RU" w:bidi="ru-RU"/>
        </w:rPr>
        <w:t>Рисунок 1.7 - Потребление электрической энергии на душу населения, кВт.ч. в год</w:t>
      </w:r>
    </w:p>
    <w:p w14:paraId="2EF119E4">
      <w:pPr>
        <w:spacing w:line="360" w:lineRule="auto"/>
        <w:ind w:firstLine="700"/>
        <w:jc w:val="both"/>
        <w:rPr>
          <w:sz w:val="28"/>
          <w:szCs w:val="28"/>
        </w:rPr>
      </w:pPr>
      <w:r>
        <w:rPr>
          <w:color w:val="000000"/>
          <w:sz w:val="28"/>
          <w:szCs w:val="28"/>
          <w:lang w:bidi="ru-RU"/>
        </w:rPr>
        <w:t>Основные факторы, способствующие росту потребления электрической энергии:</w:t>
      </w:r>
    </w:p>
    <w:p w14:paraId="727B0249">
      <w:pPr>
        <w:spacing w:line="360" w:lineRule="auto"/>
        <w:ind w:firstLine="700"/>
        <w:jc w:val="both"/>
        <w:rPr>
          <w:sz w:val="28"/>
          <w:szCs w:val="28"/>
        </w:rPr>
      </w:pPr>
      <w:r>
        <w:rPr>
          <w:color w:val="000000"/>
          <w:sz w:val="28"/>
          <w:szCs w:val="28"/>
          <w:lang w:bidi="ru-RU"/>
        </w:rPr>
        <w:t>- рост экономики (до 2030 года увеличение ВВП ожидается в 1,9 раз);</w:t>
      </w:r>
    </w:p>
    <w:p w14:paraId="7413AF24">
      <w:pPr>
        <w:spacing w:line="360" w:lineRule="auto"/>
        <w:ind w:firstLine="700"/>
        <w:jc w:val="both"/>
        <w:rPr>
          <w:sz w:val="28"/>
          <w:szCs w:val="28"/>
        </w:rPr>
      </w:pPr>
      <w:r>
        <w:rPr>
          <w:color w:val="000000"/>
          <w:sz w:val="28"/>
          <w:szCs w:val="28"/>
          <w:lang w:bidi="ru-RU"/>
        </w:rPr>
        <w:t>- повышение уровня жизни населения, приводящий к увеличению использования электропотребляющего оборудования;</w:t>
      </w:r>
    </w:p>
    <w:p w14:paraId="3232E566">
      <w:pPr>
        <w:spacing w:line="360" w:lineRule="auto"/>
        <w:ind w:firstLine="700"/>
        <w:jc w:val="both"/>
        <w:rPr>
          <w:sz w:val="28"/>
          <w:szCs w:val="28"/>
        </w:rPr>
      </w:pPr>
      <w:r>
        <w:rPr>
          <w:color w:val="000000"/>
          <w:sz w:val="28"/>
          <w:szCs w:val="28"/>
          <w:lang w:bidi="ru-RU"/>
        </w:rPr>
        <w:t>- рост населения страны до 37,4 млн.человек согласно данным Организации объединенных наций, с одновременным увеличением уровня урбанизации;</w:t>
      </w:r>
    </w:p>
    <w:p w14:paraId="6597547E">
      <w:pPr>
        <w:spacing w:line="360" w:lineRule="auto"/>
        <w:ind w:firstLine="700"/>
        <w:jc w:val="both"/>
        <w:rPr>
          <w:sz w:val="28"/>
          <w:szCs w:val="28"/>
        </w:rPr>
      </w:pPr>
      <w:r>
        <w:rPr>
          <w:color w:val="000000"/>
          <w:sz w:val="28"/>
          <w:szCs w:val="28"/>
          <w:lang w:bidi="ru-RU"/>
        </w:rPr>
        <w:t>- ликвидация неудовлетворенного спроса, оцениваемого на уровне порядка 10 процентов.</w:t>
      </w:r>
    </w:p>
    <w:p w14:paraId="799148D3">
      <w:pPr>
        <w:spacing w:line="360" w:lineRule="auto"/>
        <w:ind w:firstLine="700"/>
        <w:jc w:val="both"/>
        <w:rPr>
          <w:sz w:val="28"/>
          <w:szCs w:val="28"/>
        </w:rPr>
      </w:pPr>
      <w:r>
        <w:rPr>
          <w:color w:val="000000"/>
          <w:sz w:val="28"/>
          <w:szCs w:val="28"/>
          <w:lang w:bidi="ru-RU"/>
        </w:rPr>
        <w:t>С учетом географического расположения страны, удобного для использования транзитного потенциала, ожидается, что к 2030 году импорт и экспорт электрической энергии сравняются и достигнут показателя, равного 6 млрд.кВт.ч.в год.</w:t>
      </w:r>
    </w:p>
    <w:p w14:paraId="55A3CBCD">
      <w:pPr>
        <w:spacing w:line="360" w:lineRule="auto"/>
        <w:ind w:firstLine="700"/>
        <w:jc w:val="both"/>
        <w:rPr>
          <w:color w:val="000000"/>
          <w:sz w:val="28"/>
          <w:szCs w:val="28"/>
          <w:lang w:bidi="ru-RU"/>
        </w:rPr>
      </w:pPr>
      <w:r>
        <w:rPr>
          <w:color w:val="000000"/>
          <w:sz w:val="28"/>
          <w:szCs w:val="28"/>
          <w:lang w:bidi="ru-RU"/>
        </w:rPr>
        <w:t>При этом, к 2030 году суммарная электрическая нагрузка в часы максимума потребления достигнет более 20,9 тыс. МВт против 10,4 тыс. МВт в зимний период 2019 года, в результате чего к 2030 году требуется увеличение генерирующих мощностей почти в 2 раза (+10,5 тыс.МВт).</w:t>
      </w:r>
    </w:p>
    <w:p w14:paraId="07CE48C6">
      <w:pPr>
        <w:spacing w:line="360" w:lineRule="auto"/>
        <w:jc w:val="center"/>
        <w:rPr>
          <w:sz w:val="28"/>
          <w:szCs w:val="28"/>
        </w:rPr>
      </w:pPr>
      <w:r>
        <w:drawing>
          <wp:inline distT="0" distB="0" distL="0" distR="0">
            <wp:extent cx="5188585" cy="1992630"/>
            <wp:effectExtent l="0" t="0" r="8255" b="38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pic:cNvPicPr>
                      <a:picLocks noChangeAspect="1"/>
                    </pic:cNvPicPr>
                  </pic:nvPicPr>
                  <pic:blipFill>
                    <a:blip r:embed="rId15"/>
                    <a:stretch>
                      <a:fillRect/>
                    </a:stretch>
                  </pic:blipFill>
                  <pic:spPr>
                    <a:xfrm>
                      <a:off x="0" y="0"/>
                      <a:ext cx="5200360" cy="1997288"/>
                    </a:xfrm>
                    <a:prstGeom prst="rect">
                      <a:avLst/>
                    </a:prstGeom>
                  </pic:spPr>
                </pic:pic>
              </a:graphicData>
            </a:graphic>
          </wp:inline>
        </w:drawing>
      </w:r>
    </w:p>
    <w:p w14:paraId="0FCA8A7B">
      <w:pPr>
        <w:pStyle w:val="5"/>
        <w:spacing w:line="360" w:lineRule="auto"/>
        <w:rPr>
          <w:b w:val="0"/>
          <w:color w:val="000000"/>
          <w:sz w:val="28"/>
          <w:szCs w:val="28"/>
          <w:lang w:bidi="ru-RU"/>
        </w:rPr>
      </w:pPr>
      <w:r>
        <w:rPr>
          <w:b w:val="0"/>
          <w:color w:val="000000"/>
          <w:sz w:val="28"/>
          <w:szCs w:val="28"/>
          <w:lang w:bidi="ru-RU"/>
        </w:rPr>
        <w:t>Рисунок 1.8 - Прогноз соотношения генерирующих мощностей и максимальной нагрузки в зимний период 2019 и 2030 годов, тыс.МВт</w:t>
      </w:r>
    </w:p>
    <w:p w14:paraId="682F4D26">
      <w:pPr>
        <w:pStyle w:val="5"/>
        <w:shd w:val="clear" w:color="auto" w:fill="auto"/>
        <w:spacing w:line="360" w:lineRule="auto"/>
        <w:ind w:firstLine="700"/>
        <w:jc w:val="both"/>
        <w:rPr>
          <w:color w:val="000000"/>
          <w:sz w:val="28"/>
          <w:szCs w:val="28"/>
          <w:lang w:eastAsia="ru-RU" w:bidi="ru-RU"/>
        </w:rPr>
      </w:pPr>
    </w:p>
    <w:p w14:paraId="36D4FCB9">
      <w:pPr>
        <w:pStyle w:val="5"/>
        <w:shd w:val="clear" w:color="auto" w:fill="auto"/>
        <w:spacing w:line="360" w:lineRule="auto"/>
        <w:ind w:firstLine="700"/>
        <w:jc w:val="both"/>
        <w:rPr>
          <w:color w:val="000000"/>
          <w:sz w:val="28"/>
          <w:szCs w:val="28"/>
          <w:lang w:eastAsia="ru-RU" w:bidi="ru-RU"/>
        </w:rPr>
      </w:pPr>
    </w:p>
    <w:p w14:paraId="23F025CB">
      <w:pPr>
        <w:pStyle w:val="5"/>
        <w:shd w:val="clear" w:color="auto" w:fill="auto"/>
        <w:spacing w:line="360" w:lineRule="auto"/>
        <w:ind w:firstLine="700"/>
        <w:jc w:val="both"/>
        <w:rPr>
          <w:color w:val="000000"/>
          <w:sz w:val="28"/>
          <w:szCs w:val="28"/>
          <w:lang w:eastAsia="ru-RU" w:bidi="ru-RU"/>
        </w:rPr>
      </w:pPr>
    </w:p>
    <w:p w14:paraId="79AF9B0B">
      <w:pPr>
        <w:pStyle w:val="5"/>
        <w:shd w:val="clear" w:color="auto" w:fill="auto"/>
        <w:spacing w:line="360" w:lineRule="auto"/>
        <w:rPr>
          <w:sz w:val="28"/>
          <w:szCs w:val="28"/>
        </w:rPr>
      </w:pPr>
      <w:r>
        <w:rPr>
          <w:color w:val="000000"/>
          <w:sz w:val="28"/>
          <w:szCs w:val="28"/>
          <w:lang w:eastAsia="ru-RU" w:bidi="ru-RU"/>
        </w:rPr>
        <w:t>Основные цели, задачи и приоритетные</w:t>
      </w:r>
      <w:r>
        <w:rPr>
          <w:color w:val="000000"/>
          <w:sz w:val="28"/>
          <w:szCs w:val="28"/>
          <w:lang w:eastAsia="ru-RU" w:bidi="ru-RU"/>
        </w:rPr>
        <w:br w:type="textWrapping"/>
      </w:r>
      <w:r>
        <w:rPr>
          <w:color w:val="000000"/>
          <w:sz w:val="28"/>
          <w:szCs w:val="28"/>
          <w:lang w:eastAsia="ru-RU" w:bidi="ru-RU"/>
        </w:rPr>
        <w:t>направления Концепции</w:t>
      </w:r>
    </w:p>
    <w:p w14:paraId="60DBF8F1">
      <w:pPr>
        <w:spacing w:line="360" w:lineRule="auto"/>
        <w:ind w:firstLine="700"/>
        <w:jc w:val="both"/>
        <w:rPr>
          <w:sz w:val="28"/>
          <w:szCs w:val="28"/>
        </w:rPr>
      </w:pPr>
      <w:r>
        <w:rPr>
          <w:color w:val="000000"/>
          <w:sz w:val="28"/>
          <w:szCs w:val="28"/>
          <w:lang w:bidi="ru-RU"/>
        </w:rPr>
        <w:t xml:space="preserve">Основной целью Концепции обеспечения Республики Узбекистан электрической энергией на 2020-2030 годы является </w:t>
      </w:r>
      <w:r>
        <w:rPr>
          <w:rStyle w:val="13"/>
          <w:sz w:val="28"/>
          <w:szCs w:val="28"/>
        </w:rPr>
        <w:t xml:space="preserve">удовлетворение растущей потребности в электрической энергии по конкурентоспособным ценам и динамичное развитие электроэнергетической отрасли Республики Узбекистан </w:t>
      </w:r>
      <w:r>
        <w:rPr>
          <w:color w:val="000000"/>
          <w:sz w:val="28"/>
          <w:szCs w:val="28"/>
          <w:lang w:bidi="ru-RU"/>
        </w:rPr>
        <w:t>посредством модернизации и реконструкции существующих электрических станций, строительства новых генерирующих мощностей на базе высокоэффективных технологий производства энергии, совершенствования системы учета электроэнергии, диверсификации топливно-энергетических ресурсов с развитием использования ВИЭ.</w:t>
      </w:r>
    </w:p>
    <w:p w14:paraId="71EA30CE">
      <w:pPr>
        <w:spacing w:line="360" w:lineRule="auto"/>
        <w:ind w:firstLine="700"/>
        <w:jc w:val="both"/>
        <w:rPr>
          <w:sz w:val="28"/>
          <w:szCs w:val="28"/>
        </w:rPr>
      </w:pPr>
      <w:r>
        <w:rPr>
          <w:color w:val="000000"/>
          <w:sz w:val="28"/>
          <w:szCs w:val="28"/>
          <w:lang w:bidi="ru-RU"/>
        </w:rPr>
        <w:t>Основными задачами в рамках совершенствования обеспечения республики электрической энергией являются:</w:t>
      </w:r>
    </w:p>
    <w:p w14:paraId="405F4752">
      <w:pPr>
        <w:spacing w:line="360" w:lineRule="auto"/>
        <w:ind w:firstLine="700"/>
        <w:jc w:val="both"/>
        <w:rPr>
          <w:sz w:val="28"/>
          <w:szCs w:val="28"/>
        </w:rPr>
      </w:pPr>
      <w:r>
        <w:rPr>
          <w:rStyle w:val="13"/>
          <w:sz w:val="28"/>
          <w:szCs w:val="28"/>
        </w:rPr>
        <w:t xml:space="preserve">первое </w:t>
      </w:r>
      <w:r>
        <w:rPr>
          <w:color w:val="000000"/>
          <w:sz w:val="28"/>
          <w:szCs w:val="28"/>
          <w:lang w:bidi="ru-RU"/>
        </w:rPr>
        <w:t>- обеспечение потребности республики в электрической энергии в полном объеме за счет собственной генерации без привязки к импорту энергоресурсов и таким образом - энергетической безопасности;</w:t>
      </w:r>
    </w:p>
    <w:p w14:paraId="223FF1A1">
      <w:pPr>
        <w:spacing w:line="360" w:lineRule="auto"/>
        <w:ind w:firstLine="700"/>
        <w:jc w:val="both"/>
        <w:rPr>
          <w:sz w:val="28"/>
          <w:szCs w:val="28"/>
        </w:rPr>
      </w:pPr>
      <w:r>
        <w:rPr>
          <w:rStyle w:val="13"/>
          <w:sz w:val="28"/>
          <w:szCs w:val="28"/>
        </w:rPr>
        <w:t xml:space="preserve">второе </w:t>
      </w:r>
      <w:r>
        <w:rPr>
          <w:color w:val="000000"/>
          <w:sz w:val="28"/>
          <w:szCs w:val="28"/>
          <w:lang w:bidi="ru-RU"/>
        </w:rPr>
        <w:t>- повышение энергоэффективности экономики с параллельным снижением её энергоёмкости, в том числе за счет создания экономических механизмов стимулирования рационального использования электрической энергии потребителями;</w:t>
      </w:r>
    </w:p>
    <w:p w14:paraId="0A2562FE">
      <w:pPr>
        <w:tabs>
          <w:tab w:val="left" w:pos="4286"/>
          <w:tab w:val="right" w:pos="9662"/>
        </w:tabs>
        <w:spacing w:line="360" w:lineRule="auto"/>
        <w:ind w:firstLine="700"/>
        <w:jc w:val="both"/>
        <w:rPr>
          <w:sz w:val="28"/>
          <w:szCs w:val="28"/>
        </w:rPr>
      </w:pPr>
      <w:r>
        <w:rPr>
          <w:rStyle w:val="13"/>
          <w:sz w:val="28"/>
          <w:szCs w:val="28"/>
        </w:rPr>
        <w:t xml:space="preserve">третье </w:t>
      </w:r>
      <w:r>
        <w:rPr>
          <w:color w:val="000000"/>
          <w:sz w:val="28"/>
          <w:szCs w:val="28"/>
          <w:lang w:bidi="ru-RU"/>
        </w:rPr>
        <w:t>- повышение</w:t>
      </w:r>
      <w:r>
        <w:rPr>
          <w:color w:val="000000"/>
          <w:sz w:val="28"/>
          <w:szCs w:val="28"/>
          <w:lang w:bidi="ru-RU"/>
        </w:rPr>
        <w:tab/>
      </w:r>
      <w:r>
        <w:rPr>
          <w:color w:val="000000"/>
          <w:sz w:val="28"/>
          <w:szCs w:val="28"/>
          <w:lang w:bidi="ru-RU"/>
        </w:rPr>
        <w:t>энергоэффективности</w:t>
      </w:r>
      <w:r>
        <w:rPr>
          <w:color w:val="000000"/>
          <w:sz w:val="28"/>
          <w:szCs w:val="28"/>
          <w:lang w:bidi="ru-RU"/>
        </w:rPr>
        <w:tab/>
      </w:r>
      <w:r>
        <w:rPr>
          <w:color w:val="000000"/>
          <w:sz w:val="28"/>
          <w:szCs w:val="28"/>
          <w:lang w:bidi="ru-RU"/>
        </w:rPr>
        <w:t>производства,</w:t>
      </w:r>
    </w:p>
    <w:p w14:paraId="575351E9">
      <w:pPr>
        <w:spacing w:line="360" w:lineRule="auto"/>
        <w:ind w:firstLine="700"/>
        <w:jc w:val="both"/>
        <w:rPr>
          <w:sz w:val="28"/>
          <w:szCs w:val="28"/>
        </w:rPr>
      </w:pPr>
      <w:r>
        <w:rPr>
          <w:color w:val="000000"/>
          <w:sz w:val="28"/>
          <w:szCs w:val="28"/>
          <w:lang w:bidi="ru-RU"/>
        </w:rPr>
        <w:t>транспортировки и распределения электрической энергии для удовлетворения её растущего спроса;</w:t>
      </w:r>
    </w:p>
    <w:p w14:paraId="327A34DB">
      <w:pPr>
        <w:spacing w:line="360" w:lineRule="auto"/>
        <w:ind w:firstLine="700"/>
        <w:jc w:val="both"/>
        <w:rPr>
          <w:sz w:val="28"/>
          <w:szCs w:val="28"/>
        </w:rPr>
      </w:pPr>
      <w:r>
        <w:rPr>
          <w:rStyle w:val="13"/>
          <w:sz w:val="28"/>
          <w:szCs w:val="28"/>
        </w:rPr>
        <w:t xml:space="preserve">четвертое </w:t>
      </w:r>
      <w:r>
        <w:rPr>
          <w:color w:val="000000"/>
          <w:sz w:val="28"/>
          <w:szCs w:val="28"/>
          <w:lang w:bidi="ru-RU"/>
        </w:rPr>
        <w:t>- снижение уровня износа электрооборудования путем постепенного его обновления, увеличение резерва мощностей генерирующего оборудования и электрических сетей;</w:t>
      </w:r>
    </w:p>
    <w:p w14:paraId="154A8DE7">
      <w:pPr>
        <w:spacing w:line="360" w:lineRule="auto"/>
        <w:ind w:firstLine="700"/>
        <w:jc w:val="both"/>
        <w:rPr>
          <w:sz w:val="28"/>
          <w:szCs w:val="28"/>
        </w:rPr>
      </w:pPr>
      <w:r>
        <w:rPr>
          <w:rStyle w:val="13"/>
          <w:sz w:val="28"/>
          <w:szCs w:val="28"/>
        </w:rPr>
        <w:t xml:space="preserve">пятое </w:t>
      </w:r>
      <w:r>
        <w:rPr>
          <w:color w:val="000000"/>
          <w:sz w:val="28"/>
          <w:szCs w:val="28"/>
          <w:lang w:bidi="ru-RU"/>
        </w:rPr>
        <w:t>- развитие и расширение использования ВИЭ и их интеграция в единую электроэнергетическую систему.</w:t>
      </w:r>
    </w:p>
    <w:p w14:paraId="68329050">
      <w:pPr>
        <w:spacing w:line="360" w:lineRule="auto"/>
        <w:ind w:firstLine="700"/>
        <w:jc w:val="both"/>
        <w:rPr>
          <w:sz w:val="28"/>
          <w:szCs w:val="28"/>
        </w:rPr>
      </w:pPr>
      <w:r>
        <w:rPr>
          <w:rStyle w:val="13"/>
          <w:sz w:val="28"/>
          <w:szCs w:val="28"/>
        </w:rPr>
        <w:t xml:space="preserve">шестое </w:t>
      </w:r>
      <w:r>
        <w:rPr>
          <w:color w:val="000000"/>
          <w:sz w:val="28"/>
          <w:szCs w:val="28"/>
          <w:lang w:bidi="ru-RU"/>
        </w:rPr>
        <w:t>- разработка эффективной базовой модели рынка электрической энергии.</w:t>
      </w:r>
    </w:p>
    <w:p w14:paraId="76D72C25">
      <w:pPr>
        <w:spacing w:line="360" w:lineRule="auto"/>
        <w:ind w:firstLine="700"/>
        <w:jc w:val="both"/>
        <w:rPr>
          <w:sz w:val="28"/>
          <w:szCs w:val="28"/>
        </w:rPr>
      </w:pPr>
      <w:r>
        <w:rPr>
          <w:color w:val="000000"/>
          <w:sz w:val="28"/>
          <w:szCs w:val="28"/>
          <w:lang w:bidi="ru-RU"/>
        </w:rPr>
        <w:t>Для результативного решения вышеуказанных задач и достижения намеченных целей Концепции необходимо обеспечить реализацию следующих основных приоритетных направлений:</w:t>
      </w:r>
    </w:p>
    <w:p w14:paraId="37C5748A">
      <w:pPr>
        <w:spacing w:line="360" w:lineRule="auto"/>
        <w:ind w:firstLine="700"/>
        <w:jc w:val="both"/>
        <w:rPr>
          <w:sz w:val="28"/>
          <w:szCs w:val="28"/>
        </w:rPr>
      </w:pPr>
      <w:r>
        <w:rPr>
          <w:rStyle w:val="13"/>
          <w:sz w:val="28"/>
          <w:szCs w:val="28"/>
        </w:rPr>
        <w:t xml:space="preserve">во-первых, </w:t>
      </w:r>
      <w:r>
        <w:rPr>
          <w:color w:val="000000"/>
          <w:sz w:val="28"/>
          <w:szCs w:val="28"/>
          <w:lang w:bidi="ru-RU"/>
        </w:rPr>
        <w:t>модернизация и строительство новых объектов электроэнергетики, необходимых для обеспечения эффективного функционирования внутреннего рынка, совершенствование системы учета электрической энергии и диспетчерского управления посредством внедрения передовых информационно-коммуникационных технологий;</w:t>
      </w:r>
    </w:p>
    <w:p w14:paraId="2D149798">
      <w:pPr>
        <w:spacing w:line="360" w:lineRule="auto"/>
        <w:ind w:firstLine="700"/>
        <w:jc w:val="both"/>
        <w:rPr>
          <w:sz w:val="28"/>
          <w:szCs w:val="28"/>
        </w:rPr>
      </w:pPr>
      <w:r>
        <w:rPr>
          <w:rStyle w:val="13"/>
          <w:sz w:val="28"/>
          <w:szCs w:val="28"/>
        </w:rPr>
        <w:t xml:space="preserve">во-вторых, </w:t>
      </w:r>
      <w:r>
        <w:rPr>
          <w:color w:val="000000"/>
          <w:sz w:val="28"/>
          <w:szCs w:val="28"/>
          <w:lang w:bidi="ru-RU"/>
        </w:rPr>
        <w:t>повышение эффективности и рационального использования электрической энергии на всех стадиях технологического процесса на основе энергосберегающих технологий и оптимизации генерирующих мощностей;</w:t>
      </w:r>
    </w:p>
    <w:p w14:paraId="0A08644F">
      <w:pPr>
        <w:spacing w:line="360" w:lineRule="auto"/>
        <w:ind w:firstLine="700"/>
        <w:jc w:val="both"/>
        <w:rPr>
          <w:sz w:val="28"/>
          <w:szCs w:val="28"/>
        </w:rPr>
      </w:pPr>
      <w:r>
        <w:rPr>
          <w:rStyle w:val="13"/>
          <w:sz w:val="28"/>
          <w:szCs w:val="28"/>
        </w:rPr>
        <w:t xml:space="preserve">в-третьих, </w:t>
      </w:r>
      <w:r>
        <w:rPr>
          <w:color w:val="000000"/>
          <w:sz w:val="28"/>
          <w:szCs w:val="28"/>
          <w:lang w:bidi="ru-RU"/>
        </w:rPr>
        <w:t>обеспечение диверсификации в электроэнергетике и теплоэнергетике за счет увеличения доли ВИЭ с созданием механизмов инвестиционных проектов ВИЭ на условиях ГЧП, совершенствование государственной политики в области освоения ВИЭ и демонстрация инвестиционных проектов по освоению ВИЭ;</w:t>
      </w:r>
    </w:p>
    <w:p w14:paraId="7EFCE61D">
      <w:pPr>
        <w:spacing w:line="360" w:lineRule="auto"/>
        <w:ind w:firstLine="700"/>
        <w:jc w:val="both"/>
        <w:rPr>
          <w:sz w:val="28"/>
          <w:szCs w:val="28"/>
        </w:rPr>
      </w:pPr>
      <w:r>
        <w:rPr>
          <w:rStyle w:val="13"/>
          <w:sz w:val="28"/>
          <w:szCs w:val="28"/>
        </w:rPr>
        <w:t xml:space="preserve">в-четвертых, </w:t>
      </w:r>
      <w:r>
        <w:rPr>
          <w:color w:val="000000"/>
          <w:sz w:val="28"/>
          <w:szCs w:val="28"/>
          <w:lang w:bidi="ru-RU"/>
        </w:rPr>
        <w:t>формирование комфортной, правовой, административной инвестиционной среды и оптового рынка электрической энергии для привлечения долгосрочных, прежде всего, прямых иностранных инвестиций;</w:t>
      </w:r>
    </w:p>
    <w:p w14:paraId="4714E850">
      <w:pPr>
        <w:spacing w:line="360" w:lineRule="auto"/>
        <w:ind w:firstLine="700"/>
        <w:jc w:val="both"/>
        <w:rPr>
          <w:sz w:val="28"/>
          <w:szCs w:val="28"/>
        </w:rPr>
      </w:pPr>
      <w:r>
        <w:rPr>
          <w:rStyle w:val="13"/>
          <w:sz w:val="28"/>
          <w:szCs w:val="28"/>
        </w:rPr>
        <w:t xml:space="preserve">в-пятых, </w:t>
      </w:r>
      <w:r>
        <w:rPr>
          <w:color w:val="000000"/>
          <w:sz w:val="28"/>
          <w:szCs w:val="28"/>
          <w:lang w:bidi="ru-RU"/>
        </w:rPr>
        <w:t>совершенствование корпоративного управления, повышение прозрачности финансово-хозяйственной деятельности государственных предприятий электроэнергетической отрасли;</w:t>
      </w:r>
    </w:p>
    <w:p w14:paraId="08210F9F">
      <w:pPr>
        <w:spacing w:line="360" w:lineRule="auto"/>
        <w:ind w:firstLine="700"/>
        <w:jc w:val="both"/>
        <w:rPr>
          <w:sz w:val="28"/>
          <w:szCs w:val="28"/>
        </w:rPr>
      </w:pPr>
      <w:r>
        <w:rPr>
          <w:rStyle w:val="13"/>
          <w:sz w:val="28"/>
          <w:szCs w:val="28"/>
        </w:rPr>
        <w:t xml:space="preserve">в-шестых, </w:t>
      </w:r>
      <w:r>
        <w:rPr>
          <w:color w:val="000000"/>
          <w:sz w:val="28"/>
          <w:szCs w:val="28"/>
          <w:lang w:bidi="ru-RU"/>
        </w:rPr>
        <w:t>увеличение объемов трансграничной торговли и усиление регионального сотрудничества посредством восстановления и модернизации ЛЭП, связанных с энергосистемами соседних стран;</w:t>
      </w:r>
    </w:p>
    <w:p w14:paraId="7760EFF8">
      <w:pPr>
        <w:spacing w:line="360" w:lineRule="auto"/>
        <w:ind w:firstLine="700"/>
        <w:jc w:val="both"/>
        <w:rPr>
          <w:sz w:val="28"/>
          <w:szCs w:val="28"/>
        </w:rPr>
      </w:pPr>
      <w:r>
        <w:rPr>
          <w:rStyle w:val="13"/>
          <w:sz w:val="28"/>
          <w:szCs w:val="28"/>
        </w:rPr>
        <w:t xml:space="preserve">в-седьмых, </w:t>
      </w:r>
      <w:r>
        <w:rPr>
          <w:color w:val="000000"/>
          <w:sz w:val="28"/>
          <w:szCs w:val="28"/>
          <w:lang w:bidi="ru-RU"/>
        </w:rPr>
        <w:t>развитие рыночных отношений путем постепенной либерализации и снижении роли государства, создание новой рыночной модели, основанной на четком разделении прав и обязанностей между субъектами, действующими в данном секторе, на каждом этапе эволюции рынка, начиная с одного покупателя и заканчивая полностью конкурентными оптовыми и розничными рынками.</w:t>
      </w:r>
    </w:p>
    <w:p w14:paraId="5CE2F98C">
      <w:pPr>
        <w:pStyle w:val="5"/>
        <w:shd w:val="clear" w:color="auto" w:fill="auto"/>
        <w:spacing w:line="360" w:lineRule="auto"/>
        <w:rPr>
          <w:sz w:val="28"/>
          <w:szCs w:val="28"/>
        </w:rPr>
      </w:pPr>
      <w:r>
        <w:rPr>
          <w:color w:val="000000"/>
          <w:sz w:val="28"/>
          <w:szCs w:val="28"/>
          <w:lang w:eastAsia="ru-RU" w:bidi="ru-RU"/>
        </w:rPr>
        <w:t>Мероприятия по реализации основных</w:t>
      </w:r>
      <w:r>
        <w:rPr>
          <w:color w:val="000000"/>
          <w:sz w:val="28"/>
          <w:szCs w:val="28"/>
          <w:lang w:eastAsia="ru-RU" w:bidi="ru-RU"/>
        </w:rPr>
        <w:br w:type="textWrapping"/>
      </w:r>
      <w:r>
        <w:rPr>
          <w:color w:val="000000"/>
          <w:sz w:val="28"/>
          <w:szCs w:val="28"/>
          <w:lang w:eastAsia="ru-RU" w:bidi="ru-RU"/>
        </w:rPr>
        <w:t>приоритетных направлений Концепции</w:t>
      </w:r>
    </w:p>
    <w:p w14:paraId="0A8C64D3">
      <w:pPr>
        <w:spacing w:line="360" w:lineRule="auto"/>
        <w:ind w:firstLine="700"/>
        <w:jc w:val="both"/>
        <w:rPr>
          <w:sz w:val="28"/>
          <w:szCs w:val="28"/>
        </w:rPr>
      </w:pPr>
      <w:r>
        <w:rPr>
          <w:color w:val="000000"/>
          <w:sz w:val="28"/>
          <w:szCs w:val="28"/>
          <w:lang w:bidi="ru-RU"/>
        </w:rPr>
        <w:t>Основные приоритетные направления Концепции будут реализованы посредством осуществления системных мероприятий, предусматривающих:</w:t>
      </w:r>
    </w:p>
    <w:p w14:paraId="4704BAE2">
      <w:pPr>
        <w:pStyle w:val="5"/>
        <w:numPr>
          <w:ilvl w:val="0"/>
          <w:numId w:val="1"/>
        </w:numPr>
        <w:shd w:val="clear" w:color="auto" w:fill="auto"/>
        <w:tabs>
          <w:tab w:val="left" w:pos="1033"/>
        </w:tabs>
        <w:spacing w:line="360" w:lineRule="auto"/>
        <w:ind w:firstLine="700"/>
        <w:jc w:val="both"/>
        <w:rPr>
          <w:sz w:val="28"/>
          <w:szCs w:val="28"/>
        </w:rPr>
      </w:pPr>
      <w:r>
        <w:rPr>
          <w:color w:val="000000"/>
          <w:sz w:val="28"/>
          <w:szCs w:val="28"/>
          <w:lang w:eastAsia="ru-RU" w:bidi="ru-RU"/>
        </w:rPr>
        <w:t>Развитие тепловой энергетики.</w:t>
      </w:r>
    </w:p>
    <w:p w14:paraId="1B824DD7">
      <w:pPr>
        <w:spacing w:line="360" w:lineRule="auto"/>
        <w:ind w:firstLine="700"/>
        <w:jc w:val="both"/>
        <w:rPr>
          <w:sz w:val="28"/>
          <w:szCs w:val="28"/>
        </w:rPr>
      </w:pPr>
      <w:r>
        <w:rPr>
          <w:color w:val="000000"/>
          <w:sz w:val="28"/>
          <w:szCs w:val="28"/>
          <w:lang w:bidi="ru-RU"/>
        </w:rPr>
        <w:t>Тепловая энергетика продолжает оставаться основным источником генерации электрической энергии республики и её развитие с применением энергоэффективных технологий обеспечит устойчивость энергосистемы страны в целом.</w:t>
      </w:r>
    </w:p>
    <w:p w14:paraId="70F0ED7F">
      <w:pPr>
        <w:spacing w:line="360" w:lineRule="auto"/>
        <w:ind w:firstLine="700"/>
        <w:jc w:val="both"/>
        <w:rPr>
          <w:sz w:val="28"/>
          <w:szCs w:val="28"/>
        </w:rPr>
      </w:pPr>
      <w:r>
        <w:rPr>
          <w:color w:val="000000"/>
          <w:sz w:val="28"/>
          <w:szCs w:val="28"/>
          <w:lang w:bidi="ru-RU"/>
        </w:rPr>
        <w:t>В целях повышения энергоэффективности ТЭС при строительстве новых электростанций, работающих в базовом режиме, преимущественно будут использованы ПГУ с КПД агрегатов не менее 60 процентов.</w:t>
      </w:r>
    </w:p>
    <w:p w14:paraId="65D40A69">
      <w:pPr>
        <w:spacing w:line="360" w:lineRule="auto"/>
        <w:ind w:firstLine="700"/>
        <w:jc w:val="both"/>
        <w:rPr>
          <w:sz w:val="28"/>
          <w:szCs w:val="28"/>
        </w:rPr>
      </w:pPr>
      <w:r>
        <w:rPr>
          <w:color w:val="000000"/>
          <w:sz w:val="28"/>
          <w:szCs w:val="28"/>
          <w:lang w:bidi="ru-RU"/>
        </w:rPr>
        <w:t xml:space="preserve">В период 2020-2030 годы намечена реализация 13 проектов, из них 6 проектов по строительству новых ТЭС общей мощностью 3,8 тыс. МВт, 6 проектов по расширению действующих ТЭС с увеличением мощности на 4,1 тыс.МВт за счёт строительства ПГУ, ГТУ и угольного энергоблока, а также 1 проект по модернизации энергоблоков </w:t>
      </w:r>
      <w:r>
        <w:rPr>
          <w:color w:val="000000"/>
          <w:sz w:val="28"/>
          <w:szCs w:val="28"/>
          <w:lang w:val="en-US" w:eastAsia="en-US" w:bidi="en-US"/>
        </w:rPr>
        <w:t>N</w:t>
      </w:r>
      <w:r>
        <w:rPr>
          <w:color w:val="000000"/>
          <w:sz w:val="28"/>
          <w:szCs w:val="28"/>
          <w:lang w:eastAsia="en-US" w:bidi="en-US"/>
        </w:rPr>
        <w:t xml:space="preserve">° </w:t>
      </w:r>
      <w:r>
        <w:rPr>
          <w:color w:val="000000"/>
          <w:sz w:val="28"/>
          <w:szCs w:val="28"/>
          <w:lang w:bidi="ru-RU"/>
        </w:rPr>
        <w:t>1-5 на Ново-Ангренской ТЭС с увеличением мощности на 330 МВт.</w:t>
      </w:r>
    </w:p>
    <w:p w14:paraId="12A03FEE">
      <w:pPr>
        <w:tabs>
          <w:tab w:val="left" w:pos="7440"/>
        </w:tabs>
        <w:spacing w:line="360" w:lineRule="auto"/>
        <w:ind w:firstLine="700"/>
        <w:jc w:val="both"/>
        <w:rPr>
          <w:sz w:val="28"/>
          <w:szCs w:val="28"/>
        </w:rPr>
      </w:pPr>
      <w:r>
        <w:rPr>
          <w:color w:val="000000"/>
          <w:sz w:val="28"/>
          <w:szCs w:val="28"/>
          <w:lang w:bidi="ru-RU"/>
        </w:rPr>
        <w:t>В итоге, к 2030 году суммарная мощность ТЭС составит 14,7 тыс. МВт, объём вырабатываемой электрической энергии -70,7 млрд.кВт.ч</w:t>
      </w:r>
      <w:r>
        <w:rPr>
          <w:sz w:val="28"/>
          <w:szCs w:val="28"/>
        </w:rPr>
        <w:t xml:space="preserve"> </w:t>
      </w:r>
      <w:r>
        <w:rPr>
          <w:color w:val="000000"/>
          <w:sz w:val="28"/>
          <w:szCs w:val="28"/>
          <w:lang w:bidi="ru-RU"/>
        </w:rPr>
        <w:t>(рост в 1,3 раза к 2018г.).</w:t>
      </w:r>
    </w:p>
    <w:p w14:paraId="28C14283">
      <w:pPr>
        <w:pStyle w:val="8"/>
        <w:shd w:val="clear" w:color="auto" w:fill="auto"/>
        <w:spacing w:before="0" w:line="360" w:lineRule="auto"/>
        <w:ind w:firstLine="0"/>
        <w:jc w:val="center"/>
        <w:rPr>
          <w:color w:val="000000"/>
          <w:sz w:val="28"/>
          <w:szCs w:val="28"/>
          <w:lang w:eastAsia="ru-RU" w:bidi="ru-RU"/>
        </w:rPr>
      </w:pPr>
      <w:r>
        <w:rPr>
          <w:lang w:eastAsia="ru-RU"/>
        </w:rPr>
        <w:drawing>
          <wp:inline distT="0" distB="0" distL="0" distR="0">
            <wp:extent cx="5539740" cy="1875155"/>
            <wp:effectExtent l="0" t="0" r="7620" b="1460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pic:cNvPicPr>
                      <a:picLocks noChangeAspect="1"/>
                    </pic:cNvPicPr>
                  </pic:nvPicPr>
                  <pic:blipFill>
                    <a:blip r:embed="rId16"/>
                    <a:stretch>
                      <a:fillRect/>
                    </a:stretch>
                  </pic:blipFill>
                  <pic:spPr>
                    <a:xfrm>
                      <a:off x="0" y="0"/>
                      <a:ext cx="5549587" cy="1879026"/>
                    </a:xfrm>
                    <a:prstGeom prst="rect">
                      <a:avLst/>
                    </a:prstGeom>
                  </pic:spPr>
                </pic:pic>
              </a:graphicData>
            </a:graphic>
          </wp:inline>
        </w:drawing>
      </w:r>
    </w:p>
    <w:p w14:paraId="19216625">
      <w:pPr>
        <w:pStyle w:val="8"/>
        <w:shd w:val="clear" w:color="auto" w:fill="auto"/>
        <w:spacing w:before="0" w:line="360" w:lineRule="auto"/>
        <w:ind w:firstLine="0"/>
        <w:jc w:val="center"/>
        <w:rPr>
          <w:b w:val="0"/>
          <w:sz w:val="28"/>
          <w:szCs w:val="28"/>
        </w:rPr>
      </w:pPr>
      <w:r>
        <w:rPr>
          <w:b w:val="0"/>
          <w:color w:val="000000"/>
          <w:sz w:val="28"/>
          <w:szCs w:val="28"/>
          <w:lang w:eastAsia="ru-RU" w:bidi="ru-RU"/>
        </w:rPr>
        <w:t>Рисунок 1.9 -Рост объема установленной мощности и вырабатываемой электрической энергии в период 2019-2030 гг.</w:t>
      </w:r>
    </w:p>
    <w:p w14:paraId="31586904">
      <w:pPr>
        <w:spacing w:line="360" w:lineRule="auto"/>
        <w:ind w:firstLine="700"/>
        <w:jc w:val="both"/>
        <w:rPr>
          <w:color w:val="000000"/>
          <w:sz w:val="28"/>
          <w:szCs w:val="28"/>
          <w:lang w:bidi="ru-RU"/>
        </w:rPr>
      </w:pPr>
    </w:p>
    <w:p w14:paraId="27C1948C">
      <w:pPr>
        <w:spacing w:line="360" w:lineRule="auto"/>
        <w:ind w:firstLine="700"/>
        <w:jc w:val="both"/>
        <w:rPr>
          <w:sz w:val="28"/>
          <w:szCs w:val="28"/>
        </w:rPr>
      </w:pPr>
      <w:r>
        <w:rPr>
          <w:color w:val="000000"/>
          <w:sz w:val="28"/>
          <w:szCs w:val="28"/>
          <w:lang w:bidi="ru-RU"/>
        </w:rPr>
        <w:t>В 2020 году отобраны инвесторы на строительство двух новых ТЭС суммарной мощностью 2600-3000 МВт в Сырдарьинской области. В рамках проектов будут применены современные ПГУ с единичной мощностью 650-750 МВт, ввод объектов запланирован на 2023-2024 гг.</w:t>
      </w:r>
    </w:p>
    <w:p w14:paraId="486C8D62">
      <w:pPr>
        <w:spacing w:line="360" w:lineRule="auto"/>
        <w:ind w:firstLine="700"/>
        <w:jc w:val="both"/>
        <w:rPr>
          <w:sz w:val="28"/>
          <w:szCs w:val="28"/>
        </w:rPr>
      </w:pPr>
      <w:r>
        <w:rPr>
          <w:color w:val="000000"/>
          <w:sz w:val="28"/>
          <w:szCs w:val="28"/>
          <w:lang w:bidi="ru-RU"/>
        </w:rPr>
        <w:t>Также, будут реализованы проекты по расширению Навоийской ТЭС со строительством третьей ПГУ мощностью около 650 МВт с вводом в 2023-2024гг и четвёртой ПГУ аналогичной мощности с вводом в 2024-2025 гг.</w:t>
      </w:r>
    </w:p>
    <w:p w14:paraId="0778D03B">
      <w:pPr>
        <w:spacing w:line="360" w:lineRule="auto"/>
        <w:ind w:firstLine="700"/>
        <w:jc w:val="both"/>
        <w:rPr>
          <w:sz w:val="28"/>
          <w:szCs w:val="28"/>
        </w:rPr>
      </w:pPr>
      <w:r>
        <w:rPr>
          <w:color w:val="000000"/>
          <w:sz w:val="28"/>
          <w:szCs w:val="28"/>
          <w:lang w:bidi="ru-RU"/>
        </w:rPr>
        <w:t>Расширение Талимарджанской ТЭС со строительством третьей и четвёртой ПГУ общей мощностью не менее 900 МВт запланировано на 2023-2024гг.</w:t>
      </w:r>
    </w:p>
    <w:p w14:paraId="40D922ED">
      <w:pPr>
        <w:spacing w:line="360" w:lineRule="auto"/>
        <w:ind w:firstLine="700"/>
        <w:jc w:val="both"/>
        <w:rPr>
          <w:sz w:val="28"/>
          <w:szCs w:val="28"/>
        </w:rPr>
      </w:pPr>
      <w:r>
        <w:rPr>
          <w:color w:val="000000"/>
          <w:sz w:val="28"/>
          <w:szCs w:val="28"/>
          <w:lang w:bidi="ru-RU"/>
        </w:rPr>
        <w:t>Предусматривается строительство ТЭС на базе ПГУ общей мощностью около 1300 МВт в Кашкадарьинской или Сурхандарьинской областях со сроком ввода в 2025-2026 гг.</w:t>
      </w:r>
    </w:p>
    <w:p w14:paraId="651DC07A">
      <w:pPr>
        <w:spacing w:line="360" w:lineRule="auto"/>
        <w:ind w:firstLine="700"/>
        <w:jc w:val="both"/>
        <w:rPr>
          <w:sz w:val="28"/>
          <w:szCs w:val="28"/>
        </w:rPr>
      </w:pPr>
      <w:r>
        <w:rPr>
          <w:color w:val="000000"/>
          <w:sz w:val="28"/>
          <w:szCs w:val="28"/>
          <w:lang w:bidi="ru-RU"/>
        </w:rPr>
        <w:t>Строительство регулирующих электростанций для покрытия пиковых нагрузок энергосистемы, общей мощностью около 1200 МВт, будет осуществляться на основе газотурбинных установок малой мощности (50-100 МВт) и газопоршневых двигателей. В 2020 году определены инвесторы на строительство двух регулирующих электростанций мощностью по 200-300 МВт. Указанные станции будут введены в 2024-2025гг.</w:t>
      </w:r>
    </w:p>
    <w:p w14:paraId="416DF51E">
      <w:pPr>
        <w:spacing w:line="360" w:lineRule="auto"/>
        <w:ind w:firstLine="700"/>
        <w:jc w:val="both"/>
        <w:rPr>
          <w:sz w:val="28"/>
          <w:szCs w:val="28"/>
        </w:rPr>
      </w:pPr>
      <w:r>
        <w:rPr>
          <w:color w:val="000000"/>
          <w:sz w:val="28"/>
          <w:szCs w:val="28"/>
          <w:lang w:bidi="ru-RU"/>
        </w:rPr>
        <w:t>Развитие угольной генерации предусмотрено путем строительства нового угольного энергоблока мощностью 150 МВт на Ангренской ТЭС (второй этап), а также поэтапной модернизации существующих энергоблоков Ново-Ангренской ТЭС, предусматривающих круглогодичное сжигание угля, а также сокращение вредных выбросов в атмосферу.</w:t>
      </w:r>
    </w:p>
    <w:p w14:paraId="32614FD9">
      <w:pPr>
        <w:spacing w:line="360" w:lineRule="auto"/>
        <w:ind w:firstLine="700"/>
        <w:jc w:val="both"/>
        <w:rPr>
          <w:sz w:val="28"/>
          <w:szCs w:val="28"/>
        </w:rPr>
      </w:pPr>
      <w:r>
        <w:rPr>
          <w:color w:val="000000"/>
          <w:sz w:val="28"/>
          <w:szCs w:val="28"/>
          <w:lang w:bidi="ru-RU"/>
        </w:rPr>
        <w:t>Развитие когенерационных установок для отопления и горячего водоснабжения в городах будет осуществляться, в основном, за счёт внедрения ГТУ средней мощности. В частности, в 2020 году на Ферганской ТЭЦ внедрена ГТУ мощностью 17 МВт и в 2022 году - две ГТУ общей мощностью 54 МВт на Ташкентской ТЭЦ.</w:t>
      </w:r>
    </w:p>
    <w:p w14:paraId="5A410A67">
      <w:pPr>
        <w:spacing w:line="360" w:lineRule="auto"/>
        <w:ind w:firstLine="700"/>
        <w:jc w:val="both"/>
        <w:rPr>
          <w:sz w:val="28"/>
          <w:szCs w:val="28"/>
        </w:rPr>
      </w:pPr>
      <w:r>
        <w:rPr>
          <w:color w:val="000000"/>
          <w:sz w:val="28"/>
          <w:szCs w:val="28"/>
          <w:lang w:bidi="ru-RU"/>
        </w:rPr>
        <w:t>По мере ввода новых генерирующих мощностей будет поэтапно осуществляться вывод из эксплуатации морально и физически устаревших энергоблоков ТЭС. Общая мощность выводимого оборудования, отработавшего парковый ресурс, к 2030 году достигнет 5,9 тыс. МВт.</w:t>
      </w:r>
    </w:p>
    <w:p w14:paraId="0C38F1B4">
      <w:pPr>
        <w:spacing w:line="360" w:lineRule="auto"/>
        <w:ind w:firstLine="700"/>
        <w:jc w:val="both"/>
        <w:rPr>
          <w:sz w:val="28"/>
          <w:szCs w:val="28"/>
        </w:rPr>
      </w:pPr>
      <w:r>
        <w:rPr>
          <w:color w:val="000000"/>
          <w:sz w:val="28"/>
          <w:szCs w:val="28"/>
          <w:lang w:bidi="ru-RU"/>
        </w:rPr>
        <w:t>При этом, по соображениям энергетической безопасности будет создан резерв мощностей, которые в последующем могут быть использованы в оказании вспомогательных услуг (системный резерв).</w:t>
      </w:r>
    </w:p>
    <w:p w14:paraId="7F9D4986">
      <w:pPr>
        <w:pStyle w:val="5"/>
        <w:shd w:val="clear" w:color="auto" w:fill="auto"/>
        <w:tabs>
          <w:tab w:val="left" w:pos="1032"/>
        </w:tabs>
        <w:spacing w:line="360" w:lineRule="auto"/>
        <w:rPr>
          <w:sz w:val="28"/>
          <w:szCs w:val="28"/>
        </w:rPr>
      </w:pPr>
      <w:r>
        <w:rPr>
          <w:color w:val="000000"/>
          <w:sz w:val="28"/>
          <w:szCs w:val="28"/>
          <w:lang w:eastAsia="ru-RU" w:bidi="ru-RU"/>
        </w:rPr>
        <w:t>Развитие генерации на основе ВИЭ.</w:t>
      </w:r>
    </w:p>
    <w:p w14:paraId="501A904A">
      <w:pPr>
        <w:spacing w:line="360" w:lineRule="auto"/>
        <w:ind w:firstLine="700"/>
        <w:jc w:val="both"/>
        <w:rPr>
          <w:sz w:val="28"/>
          <w:szCs w:val="28"/>
        </w:rPr>
      </w:pPr>
      <w:r>
        <w:rPr>
          <w:color w:val="000000"/>
          <w:sz w:val="28"/>
          <w:szCs w:val="28"/>
          <w:lang w:bidi="ru-RU"/>
        </w:rPr>
        <w:t>В период 2020-2030 годы будет уделено особое внимание развитию генерации на основе ВИЭ, особенно солнечной энергии. Эти проекты будут осуществляться исключительно за счет средств инвесторов - независимых производителей электрической энергии.</w:t>
      </w:r>
    </w:p>
    <w:p w14:paraId="261E5567">
      <w:pPr>
        <w:spacing w:line="360" w:lineRule="auto"/>
        <w:ind w:firstLine="700"/>
        <w:jc w:val="both"/>
        <w:rPr>
          <w:sz w:val="28"/>
          <w:szCs w:val="28"/>
        </w:rPr>
      </w:pPr>
      <w:r>
        <w:rPr>
          <w:color w:val="000000"/>
          <w:sz w:val="28"/>
          <w:szCs w:val="28"/>
          <w:lang w:bidi="ru-RU"/>
        </w:rPr>
        <w:t>Для достижения показателей развития возобновляемой энергетики определены целевые параметры ежегодно вводимых мощностей объектов ВИЭ в 2020-2030 годах, предусматривающие строительство 3 ГВт ветровых и 5 ГВт солнечных электростанций.</w:t>
      </w:r>
    </w:p>
    <w:p w14:paraId="74BF272F">
      <w:pPr>
        <w:spacing w:line="360" w:lineRule="auto"/>
        <w:ind w:firstLine="700"/>
        <w:jc w:val="both"/>
        <w:rPr>
          <w:sz w:val="28"/>
          <w:szCs w:val="28"/>
        </w:rPr>
      </w:pPr>
      <w:r>
        <w:rPr>
          <w:color w:val="000000"/>
          <w:sz w:val="28"/>
          <w:szCs w:val="28"/>
          <w:lang w:bidi="ru-RU"/>
        </w:rPr>
        <w:t>В ветроэнергетике основным направлением будет создание крупных ветропарков, с единичной мощностью 100-500 МВт, большинство которых будет сосредоточено в Северо-Западном регионе (Республика Каракалпакстан и Навоийская область).</w:t>
      </w:r>
    </w:p>
    <w:p w14:paraId="644F1CF3">
      <w:pPr>
        <w:spacing w:line="360" w:lineRule="auto"/>
        <w:ind w:firstLine="700"/>
        <w:jc w:val="both"/>
        <w:rPr>
          <w:sz w:val="28"/>
          <w:szCs w:val="28"/>
        </w:rPr>
      </w:pPr>
      <w:r>
        <w:rPr>
          <w:color w:val="000000"/>
          <w:sz w:val="28"/>
          <w:szCs w:val="28"/>
          <w:lang w:bidi="ru-RU"/>
        </w:rPr>
        <w:t>Солнечные ФЭС мощностью 100-500 МВт будут сосредоточены, в основном, в Центральном и Южном регионах (Джизакской, Самаркандской, Бухарской, Кашкадарьинской и Сурхандарьинской областях). Однако, и в остальных регионах республики будут построены солнечные ФЭС мощностью 50-200 МВт. При этом, крупные солнечные ФЭС (суммарно более 300 МВт) постепенно будут оснащены системами накопления энергии промышленного масштаба для обеспечения стабилизации переменчивой генерации и регулирования пиковых нагрузок.</w:t>
      </w:r>
    </w:p>
    <w:p w14:paraId="4A167F40">
      <w:pPr>
        <w:spacing w:line="360" w:lineRule="auto"/>
        <w:ind w:firstLine="700"/>
        <w:jc w:val="both"/>
        <w:rPr>
          <w:sz w:val="28"/>
          <w:szCs w:val="28"/>
        </w:rPr>
      </w:pPr>
      <w:r>
        <w:rPr>
          <w:color w:val="000000"/>
          <w:sz w:val="28"/>
          <w:szCs w:val="28"/>
          <w:lang w:bidi="ru-RU"/>
        </w:rPr>
        <w:t xml:space="preserve">В целях активизации привлечения прямых иностранных инвестиций в возобновляемую энергетику республики, в течение 2020-2022гг. совместно с международными финансовыми институтами будут проведены конкурсные торги (тендеры и аукционы) для определения инвесторов по модели </w:t>
      </w:r>
      <w:r>
        <w:rPr>
          <w:color w:val="000000"/>
          <w:sz w:val="28"/>
          <w:szCs w:val="28"/>
          <w:lang w:eastAsia="en-US" w:bidi="en-US"/>
        </w:rPr>
        <w:t>«</w:t>
      </w:r>
      <w:r>
        <w:rPr>
          <w:color w:val="000000"/>
          <w:sz w:val="28"/>
          <w:szCs w:val="28"/>
          <w:lang w:val="en-US" w:eastAsia="en-US" w:bidi="en-US"/>
        </w:rPr>
        <w:t>Build</w:t>
      </w:r>
      <w:r>
        <w:rPr>
          <w:color w:val="000000"/>
          <w:sz w:val="28"/>
          <w:szCs w:val="28"/>
          <w:lang w:eastAsia="en-US" w:bidi="en-US"/>
        </w:rPr>
        <w:t>-</w:t>
      </w:r>
      <w:r>
        <w:rPr>
          <w:color w:val="000000"/>
          <w:sz w:val="28"/>
          <w:szCs w:val="28"/>
          <w:lang w:val="en-US" w:eastAsia="en-US" w:bidi="en-US"/>
        </w:rPr>
        <w:t>own</w:t>
      </w:r>
      <w:r>
        <w:rPr>
          <w:color w:val="000000"/>
          <w:sz w:val="28"/>
          <w:szCs w:val="28"/>
          <w:lang w:eastAsia="en-US" w:bidi="en-US"/>
        </w:rPr>
        <w:t>-</w:t>
      </w:r>
      <w:r>
        <w:rPr>
          <w:color w:val="000000"/>
          <w:sz w:val="28"/>
          <w:szCs w:val="28"/>
          <w:lang w:val="en-US" w:eastAsia="en-US" w:bidi="en-US"/>
        </w:rPr>
        <w:t>operate</w:t>
      </w:r>
      <w:r>
        <w:rPr>
          <w:color w:val="000000"/>
          <w:sz w:val="28"/>
          <w:szCs w:val="28"/>
          <w:lang w:eastAsia="en-US" w:bidi="en-US"/>
        </w:rPr>
        <w:t xml:space="preserve">», </w:t>
      </w:r>
      <w:r>
        <w:rPr>
          <w:color w:val="000000"/>
          <w:sz w:val="28"/>
          <w:szCs w:val="28"/>
          <w:lang w:bidi="ru-RU"/>
        </w:rPr>
        <w:t>с которыми будут заключены долгосрочные (до 25 лет) Соглашения по закупке электрической энергии.</w:t>
      </w:r>
    </w:p>
    <w:p w14:paraId="5C1CA672">
      <w:pPr>
        <w:pStyle w:val="8"/>
        <w:shd w:val="clear" w:color="auto" w:fill="auto"/>
        <w:spacing w:before="0" w:line="360" w:lineRule="auto"/>
        <w:ind w:firstLine="0"/>
        <w:jc w:val="center"/>
        <w:rPr>
          <w:color w:val="000000"/>
          <w:sz w:val="28"/>
          <w:szCs w:val="28"/>
          <w:lang w:eastAsia="ru-RU" w:bidi="ru-RU"/>
        </w:rPr>
      </w:pPr>
      <w:r>
        <w:rPr>
          <w:lang w:eastAsia="ru-RU"/>
        </w:rPr>
        <w:drawing>
          <wp:inline distT="0" distB="0" distL="0" distR="0">
            <wp:extent cx="5836920" cy="1881505"/>
            <wp:effectExtent l="0" t="0" r="0" b="825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111"/>
                    <pic:cNvPicPr>
                      <a:picLocks noChangeAspect="1"/>
                    </pic:cNvPicPr>
                  </pic:nvPicPr>
                  <pic:blipFill>
                    <a:blip r:embed="rId17"/>
                    <a:stretch>
                      <a:fillRect/>
                    </a:stretch>
                  </pic:blipFill>
                  <pic:spPr>
                    <a:xfrm>
                      <a:off x="0" y="0"/>
                      <a:ext cx="5844365" cy="1883954"/>
                    </a:xfrm>
                    <a:prstGeom prst="rect">
                      <a:avLst/>
                    </a:prstGeom>
                  </pic:spPr>
                </pic:pic>
              </a:graphicData>
            </a:graphic>
          </wp:inline>
        </w:drawing>
      </w:r>
    </w:p>
    <w:p w14:paraId="522A4857">
      <w:pPr>
        <w:pStyle w:val="8"/>
        <w:shd w:val="clear" w:color="auto" w:fill="auto"/>
        <w:spacing w:before="0" w:line="360" w:lineRule="auto"/>
        <w:ind w:firstLine="0"/>
        <w:jc w:val="center"/>
        <w:rPr>
          <w:b w:val="0"/>
          <w:sz w:val="28"/>
          <w:szCs w:val="28"/>
        </w:rPr>
      </w:pPr>
      <w:r>
        <w:rPr>
          <w:b w:val="0"/>
          <w:color w:val="000000"/>
          <w:sz w:val="28"/>
          <w:szCs w:val="28"/>
          <w:lang w:eastAsia="ru-RU" w:bidi="ru-RU"/>
        </w:rPr>
        <w:t>Рисунок 1.10 - Структура генерации на основе ВИЭ к 2030 г., МВт</w:t>
      </w:r>
    </w:p>
    <w:p w14:paraId="3B262525">
      <w:pPr>
        <w:spacing w:line="360" w:lineRule="auto"/>
        <w:ind w:firstLine="700"/>
        <w:jc w:val="both"/>
        <w:rPr>
          <w:color w:val="000000"/>
          <w:sz w:val="28"/>
          <w:szCs w:val="28"/>
          <w:lang w:bidi="ru-RU"/>
        </w:rPr>
      </w:pPr>
    </w:p>
    <w:p w14:paraId="416BD9BA">
      <w:pPr>
        <w:spacing w:line="360" w:lineRule="auto"/>
        <w:ind w:firstLine="700"/>
        <w:jc w:val="both"/>
        <w:rPr>
          <w:sz w:val="28"/>
          <w:szCs w:val="28"/>
        </w:rPr>
      </w:pPr>
      <w:r>
        <w:rPr>
          <w:color w:val="000000"/>
          <w:sz w:val="28"/>
          <w:szCs w:val="28"/>
          <w:lang w:bidi="ru-RU"/>
        </w:rPr>
        <w:t>Также будет уделено внимание созданию изолированных (не подключенным в единую электроэнергетическую систему) солнечных ФЭС малой мощности в отдаленных населенных пунктах республики, а также в регионах, где намечено развитие экотуризма.</w:t>
      </w:r>
    </w:p>
    <w:p w14:paraId="618C93E1">
      <w:pPr>
        <w:spacing w:line="360" w:lineRule="auto"/>
        <w:ind w:firstLine="700"/>
        <w:jc w:val="both"/>
        <w:rPr>
          <w:sz w:val="28"/>
          <w:szCs w:val="28"/>
        </w:rPr>
      </w:pPr>
      <w:r>
        <w:rPr>
          <w:color w:val="000000"/>
          <w:sz w:val="28"/>
          <w:szCs w:val="28"/>
          <w:lang w:bidi="ru-RU"/>
        </w:rPr>
        <w:t>Кроме того, будет развиваться строительство солнечных ФЭС средней мощности (1-20 МВт) для производства электрической энергии на собственные нужды промышленных предприятий и индустриальных парков.</w:t>
      </w:r>
    </w:p>
    <w:p w14:paraId="6911FA60">
      <w:pPr>
        <w:spacing w:line="360" w:lineRule="auto"/>
        <w:ind w:firstLine="700"/>
        <w:jc w:val="both"/>
        <w:rPr>
          <w:sz w:val="28"/>
          <w:szCs w:val="28"/>
        </w:rPr>
      </w:pPr>
      <w:r>
        <w:rPr>
          <w:color w:val="000000"/>
          <w:sz w:val="28"/>
          <w:szCs w:val="28"/>
          <w:lang w:bidi="ru-RU"/>
        </w:rPr>
        <w:t>Принимая во внимание быстрый рост способности потребителей вырабатывать электрическую энергию для собственных нужд и поставки излишка ее объема в единую электроэнергетическую систему, а также в целях стимулирования активизации внутриреспубликанского инвестиционного потенциала, утверждена целевая программа по установке порядка 150 тысяч солнечных ФЭС (мощностью по 2-3 кВт) и водонагревателей (в среднем 200 литров) в 2-2,5 процентах домохозяйств в 2021-2025 годах. С учетом установки населением объектов ВИЭ к 2026 году предусматривается покрытие потребления 4,3 процентов домохозяйств по республике в объеме порядка 800 млн.кВт.ч в год за счет внедрения частично изолированных объектов ВИЭ.</w:t>
      </w:r>
    </w:p>
    <w:p w14:paraId="71BF1455">
      <w:pPr>
        <w:pStyle w:val="5"/>
        <w:shd w:val="clear" w:color="auto" w:fill="auto"/>
        <w:tabs>
          <w:tab w:val="left" w:pos="1094"/>
        </w:tabs>
        <w:spacing w:line="360" w:lineRule="auto"/>
        <w:rPr>
          <w:sz w:val="28"/>
          <w:szCs w:val="28"/>
        </w:rPr>
      </w:pPr>
      <w:r>
        <w:rPr>
          <w:color w:val="000000"/>
          <w:sz w:val="28"/>
          <w:szCs w:val="28"/>
          <w:lang w:eastAsia="ru-RU" w:bidi="ru-RU"/>
        </w:rPr>
        <w:t>Развитие гидроэнергетики.</w:t>
      </w:r>
    </w:p>
    <w:p w14:paraId="4A7BEA74">
      <w:pPr>
        <w:spacing w:line="360" w:lineRule="auto"/>
        <w:ind w:firstLine="700"/>
        <w:jc w:val="both"/>
        <w:rPr>
          <w:sz w:val="28"/>
          <w:szCs w:val="28"/>
        </w:rPr>
      </w:pPr>
      <w:r>
        <w:rPr>
          <w:color w:val="000000"/>
          <w:sz w:val="28"/>
          <w:szCs w:val="28"/>
          <w:lang w:bidi="ru-RU"/>
        </w:rPr>
        <w:t>В период 2020-2030 годы намечено проведение работ по 62 проектам, в том числе строительство 35 ГЭС общей мощностью 1537 МВт и модернизация 27 существующих ГЭС с увеличением мощности на 186 МВт. В итоге, к 2030 году суммарная мощность ГЭС составит 3 785 МВт, объём вырабатываемой электрической энергии - 13,1 млрд.кВт.ч (в 2,2 раза к 2019 г.).</w:t>
      </w:r>
    </w:p>
    <w:p w14:paraId="0EDE3B6F">
      <w:pPr>
        <w:pStyle w:val="8"/>
        <w:shd w:val="clear" w:color="auto" w:fill="auto"/>
        <w:spacing w:before="0" w:line="360" w:lineRule="auto"/>
        <w:ind w:firstLine="0"/>
        <w:jc w:val="center"/>
        <w:rPr>
          <w:color w:val="000000"/>
          <w:sz w:val="28"/>
          <w:szCs w:val="28"/>
          <w:lang w:eastAsia="ru-RU" w:bidi="ru-RU"/>
        </w:rPr>
      </w:pPr>
      <w:r>
        <w:rPr>
          <w:lang w:eastAsia="ru-RU"/>
        </w:rPr>
        <w:drawing>
          <wp:inline distT="0" distB="0" distL="0" distR="0">
            <wp:extent cx="5881370" cy="1699260"/>
            <wp:effectExtent l="0" t="0" r="1270" b="762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112"/>
                    <pic:cNvPicPr>
                      <a:picLocks noChangeAspect="1"/>
                    </pic:cNvPicPr>
                  </pic:nvPicPr>
                  <pic:blipFill>
                    <a:blip r:embed="rId18"/>
                    <a:stretch>
                      <a:fillRect/>
                    </a:stretch>
                  </pic:blipFill>
                  <pic:spPr>
                    <a:xfrm>
                      <a:off x="0" y="0"/>
                      <a:ext cx="5899663" cy="1705074"/>
                    </a:xfrm>
                    <a:prstGeom prst="rect">
                      <a:avLst/>
                    </a:prstGeom>
                  </pic:spPr>
                </pic:pic>
              </a:graphicData>
            </a:graphic>
          </wp:inline>
        </w:drawing>
      </w:r>
    </w:p>
    <w:p w14:paraId="7E9ADC40">
      <w:pPr>
        <w:pStyle w:val="8"/>
        <w:shd w:val="clear" w:color="auto" w:fill="auto"/>
        <w:spacing w:before="0" w:line="360" w:lineRule="auto"/>
        <w:ind w:firstLine="0"/>
        <w:jc w:val="both"/>
        <w:rPr>
          <w:b w:val="0"/>
          <w:sz w:val="28"/>
          <w:szCs w:val="28"/>
        </w:rPr>
      </w:pPr>
      <w:r>
        <w:rPr>
          <w:b w:val="0"/>
          <w:color w:val="000000"/>
          <w:sz w:val="28"/>
          <w:szCs w:val="28"/>
          <w:lang w:eastAsia="ru-RU" w:bidi="ru-RU"/>
        </w:rPr>
        <w:t>Рисунок 1.11 - Рост установленной мощности ГЭС в 2018-2030 гг., МВт</w:t>
      </w:r>
    </w:p>
    <w:p w14:paraId="160075AB">
      <w:pPr>
        <w:spacing w:line="360" w:lineRule="auto"/>
        <w:ind w:firstLine="700"/>
        <w:jc w:val="both"/>
        <w:rPr>
          <w:color w:val="000000"/>
          <w:sz w:val="28"/>
          <w:szCs w:val="28"/>
          <w:lang w:bidi="ru-RU"/>
        </w:rPr>
      </w:pPr>
    </w:p>
    <w:p w14:paraId="2AAEE2AF">
      <w:pPr>
        <w:spacing w:line="360" w:lineRule="auto"/>
        <w:ind w:firstLine="700"/>
        <w:jc w:val="both"/>
        <w:rPr>
          <w:sz w:val="28"/>
          <w:szCs w:val="28"/>
        </w:rPr>
      </w:pPr>
      <w:r>
        <w:rPr>
          <w:color w:val="000000"/>
          <w:sz w:val="28"/>
          <w:szCs w:val="28"/>
          <w:lang w:bidi="ru-RU"/>
        </w:rPr>
        <w:t>За период до 2030 года планируется построить новые ГЭС, в том числе в:</w:t>
      </w:r>
    </w:p>
    <w:p w14:paraId="123B2AF2">
      <w:pPr>
        <w:spacing w:line="360" w:lineRule="auto"/>
        <w:ind w:firstLine="700"/>
        <w:jc w:val="both"/>
        <w:rPr>
          <w:sz w:val="28"/>
          <w:szCs w:val="28"/>
        </w:rPr>
      </w:pPr>
      <w:r>
        <w:rPr>
          <w:color w:val="000000"/>
          <w:sz w:val="28"/>
          <w:szCs w:val="28"/>
          <w:lang w:bidi="ru-RU"/>
        </w:rPr>
        <w:t>- Центральном энергоузле: 6 крупных ГЭС общей мощностью 1176 МВт, 3 МГЭС мощностью 33 МВт и 2 микро ГЭС мощностью 2 МВт;</w:t>
      </w:r>
    </w:p>
    <w:p w14:paraId="02EB3174">
      <w:pPr>
        <w:spacing w:line="360" w:lineRule="auto"/>
        <w:ind w:firstLine="700"/>
        <w:jc w:val="both"/>
        <w:rPr>
          <w:sz w:val="28"/>
          <w:szCs w:val="28"/>
        </w:rPr>
      </w:pPr>
      <w:r>
        <w:rPr>
          <w:color w:val="000000"/>
          <w:sz w:val="28"/>
          <w:szCs w:val="28"/>
          <w:lang w:bidi="ru-RU"/>
        </w:rPr>
        <w:t>- Юго-Западном энергоузле: 17 МГЭС общей мощностью 114 МВт, 5 микро ГЭС мощностью 5 МВт;</w:t>
      </w:r>
    </w:p>
    <w:p w14:paraId="13D4D0B6">
      <w:pPr>
        <w:spacing w:line="360" w:lineRule="auto"/>
        <w:ind w:firstLine="700"/>
        <w:jc w:val="both"/>
        <w:rPr>
          <w:sz w:val="28"/>
          <w:szCs w:val="28"/>
        </w:rPr>
      </w:pPr>
      <w:r>
        <w:rPr>
          <w:color w:val="000000"/>
          <w:sz w:val="28"/>
          <w:szCs w:val="28"/>
          <w:lang w:bidi="ru-RU"/>
        </w:rPr>
        <w:t>- Южном энергоузле: 4 ГЭС общей мощностью 271 МВт и 1 МГЭС мощностью 25 МВт;</w:t>
      </w:r>
    </w:p>
    <w:p w14:paraId="665797FB">
      <w:pPr>
        <w:tabs>
          <w:tab w:val="left" w:pos="3912"/>
        </w:tabs>
        <w:spacing w:line="360" w:lineRule="auto"/>
        <w:ind w:firstLine="700"/>
        <w:jc w:val="both"/>
        <w:rPr>
          <w:sz w:val="28"/>
          <w:szCs w:val="28"/>
        </w:rPr>
      </w:pPr>
      <w:r>
        <w:rPr>
          <w:color w:val="000000"/>
          <w:sz w:val="28"/>
          <w:szCs w:val="28"/>
          <w:lang w:bidi="ru-RU"/>
        </w:rPr>
        <w:t>- Восточном энергоузле: 8 МГЭС суммарной мощностью 68 МВт</w:t>
      </w:r>
      <w:r>
        <w:rPr>
          <w:sz w:val="28"/>
          <w:szCs w:val="28"/>
        </w:rPr>
        <w:t xml:space="preserve"> </w:t>
      </w:r>
      <w:r>
        <w:rPr>
          <w:color w:val="000000"/>
          <w:sz w:val="28"/>
          <w:szCs w:val="28"/>
          <w:lang w:bidi="ru-RU"/>
        </w:rPr>
        <w:t>и 9 микро ГЭС 5 МВт.</w:t>
      </w:r>
    </w:p>
    <w:p w14:paraId="496E5C10">
      <w:pPr>
        <w:pStyle w:val="5"/>
        <w:shd w:val="clear" w:color="auto" w:fill="auto"/>
        <w:tabs>
          <w:tab w:val="left" w:pos="1089"/>
        </w:tabs>
        <w:spacing w:line="360" w:lineRule="auto"/>
        <w:rPr>
          <w:sz w:val="28"/>
          <w:szCs w:val="28"/>
        </w:rPr>
      </w:pPr>
      <w:r>
        <w:rPr>
          <w:color w:val="000000"/>
          <w:sz w:val="28"/>
          <w:szCs w:val="28"/>
          <w:lang w:eastAsia="ru-RU" w:bidi="ru-RU"/>
        </w:rPr>
        <w:t>Развитие магистральных электрических сетей.</w:t>
      </w:r>
    </w:p>
    <w:p w14:paraId="29CEB086">
      <w:pPr>
        <w:spacing w:line="360" w:lineRule="auto"/>
        <w:ind w:firstLine="700"/>
        <w:jc w:val="both"/>
        <w:rPr>
          <w:sz w:val="28"/>
          <w:szCs w:val="28"/>
        </w:rPr>
      </w:pPr>
      <w:r>
        <w:rPr>
          <w:color w:val="000000"/>
          <w:sz w:val="28"/>
          <w:szCs w:val="28"/>
          <w:lang w:bidi="ru-RU"/>
        </w:rPr>
        <w:t>По магистральным электрическим сетям осуществляется транспортировка электрической энергии по регионам республики, а также межгосударственный транзит, экспорт-импорт электрической энергии и взаимодействие с электроэнергетическими системами других государств.</w:t>
      </w:r>
    </w:p>
    <w:p w14:paraId="7956CEEE">
      <w:pPr>
        <w:spacing w:line="360" w:lineRule="auto"/>
        <w:ind w:firstLine="700"/>
        <w:jc w:val="both"/>
        <w:rPr>
          <w:sz w:val="28"/>
          <w:szCs w:val="28"/>
        </w:rPr>
      </w:pPr>
      <w:r>
        <w:rPr>
          <w:color w:val="000000"/>
          <w:sz w:val="28"/>
          <w:szCs w:val="28"/>
          <w:lang w:bidi="ru-RU"/>
        </w:rPr>
        <w:t>Магистральные электрические сети являются собственностью государства в составе АО «Национальные электрические сети Узбекистана» - Системного оператора и не подлежат приватизации и/или передаче в оперативное управление.</w:t>
      </w:r>
    </w:p>
    <w:p w14:paraId="124D80E4">
      <w:pPr>
        <w:spacing w:line="360" w:lineRule="auto"/>
        <w:ind w:firstLine="700"/>
        <w:jc w:val="both"/>
        <w:rPr>
          <w:sz w:val="28"/>
          <w:szCs w:val="28"/>
        </w:rPr>
      </w:pPr>
      <w:r>
        <w:rPr>
          <w:color w:val="000000"/>
          <w:sz w:val="28"/>
          <w:szCs w:val="28"/>
          <w:lang w:bidi="ru-RU"/>
        </w:rPr>
        <w:t>Единое оперативно-диспетчерское управление всеми типами электростанций, а также магистральными и распределительными электрическими сетями продолжит осуществлять Национальный диспетчерский центр в составе АО «Национальные электрические сети Узбекистана».</w:t>
      </w:r>
    </w:p>
    <w:p w14:paraId="42566B31">
      <w:pPr>
        <w:spacing w:line="360" w:lineRule="auto"/>
        <w:ind w:firstLine="700"/>
        <w:jc w:val="both"/>
        <w:rPr>
          <w:sz w:val="28"/>
          <w:szCs w:val="28"/>
        </w:rPr>
      </w:pPr>
      <w:r>
        <w:rPr>
          <w:color w:val="000000"/>
          <w:sz w:val="28"/>
          <w:szCs w:val="28"/>
          <w:lang w:bidi="ru-RU"/>
        </w:rPr>
        <w:t>Ожидается, что к 2025 году для повышения надежности электроснабжения все энергоузлы единой электроэнергетической системы будут объединены в единую энергетическую сеть 500 кВ.</w:t>
      </w:r>
    </w:p>
    <w:p w14:paraId="085B11C4">
      <w:pPr>
        <w:spacing w:line="360" w:lineRule="auto"/>
        <w:ind w:firstLine="700"/>
        <w:jc w:val="both"/>
        <w:rPr>
          <w:sz w:val="28"/>
          <w:szCs w:val="28"/>
        </w:rPr>
      </w:pPr>
      <w:r>
        <w:rPr>
          <w:color w:val="000000"/>
          <w:sz w:val="28"/>
          <w:szCs w:val="28"/>
          <w:lang w:bidi="ru-RU"/>
        </w:rPr>
        <w:t>Результативность решения данной задачи предусматривается достичь реализацией следующих основных мер для:</w:t>
      </w:r>
    </w:p>
    <w:p w14:paraId="28C55350">
      <w:pPr>
        <w:tabs>
          <w:tab w:val="left" w:pos="6366"/>
          <w:tab w:val="left" w:pos="7941"/>
          <w:tab w:val="right" w:pos="9641"/>
        </w:tabs>
        <w:spacing w:line="360" w:lineRule="auto"/>
        <w:ind w:firstLine="700"/>
        <w:jc w:val="both"/>
        <w:rPr>
          <w:sz w:val="28"/>
          <w:szCs w:val="28"/>
        </w:rPr>
      </w:pPr>
      <w:r>
        <w:rPr>
          <w:color w:val="000000"/>
          <w:sz w:val="28"/>
          <w:szCs w:val="28"/>
          <w:lang w:bidi="ru-RU"/>
        </w:rPr>
        <w:t>- присоединения новых генерирующих мощностей и увеличения надежности электроснабжения Северо-западного</w:t>
      </w:r>
      <w:r>
        <w:rPr>
          <w:color w:val="000000"/>
          <w:sz w:val="28"/>
          <w:szCs w:val="28"/>
          <w:lang w:bidi="ru-RU"/>
        </w:rPr>
        <w:tab/>
      </w:r>
      <w:r>
        <w:rPr>
          <w:color w:val="000000"/>
          <w:sz w:val="28"/>
          <w:szCs w:val="28"/>
          <w:lang w:bidi="ru-RU"/>
        </w:rPr>
        <w:t xml:space="preserve">энергоузла, </w:t>
      </w:r>
      <w:r>
        <w:rPr>
          <w:color w:val="000000"/>
          <w:sz w:val="28"/>
          <w:szCs w:val="28"/>
          <w:lang w:bidi="ru-RU"/>
        </w:rPr>
        <w:tab/>
      </w:r>
      <w:r>
        <w:rPr>
          <w:color w:val="000000"/>
          <w:sz w:val="28"/>
          <w:szCs w:val="28"/>
          <w:lang w:bidi="ru-RU"/>
        </w:rPr>
        <w:t>а также</w:t>
      </w:r>
      <w:r>
        <w:rPr>
          <w:color w:val="000000"/>
          <w:sz w:val="28"/>
          <w:szCs w:val="28"/>
          <w:lang w:bidi="ru-RU"/>
        </w:rPr>
        <w:tab/>
      </w:r>
      <w:r>
        <w:rPr>
          <w:color w:val="000000"/>
          <w:sz w:val="28"/>
          <w:szCs w:val="28"/>
          <w:lang w:bidi="ru-RU"/>
        </w:rPr>
        <w:t>для</w:t>
      </w:r>
      <w:r>
        <w:rPr>
          <w:sz w:val="28"/>
          <w:szCs w:val="28"/>
        </w:rPr>
        <w:t xml:space="preserve"> </w:t>
      </w:r>
      <w:r>
        <w:rPr>
          <w:color w:val="000000"/>
          <w:sz w:val="28"/>
          <w:szCs w:val="28"/>
          <w:lang w:bidi="ru-RU"/>
        </w:rPr>
        <w:t>обеспечения электрической энергией вновь вводимых производственных мощностей в Республике Каракалпакстан и Навоийской области путем строительства следующих объектов:</w:t>
      </w:r>
    </w:p>
    <w:p w14:paraId="3519E600">
      <w:pPr>
        <w:tabs>
          <w:tab w:val="left" w:pos="1268"/>
        </w:tabs>
        <w:spacing w:line="360" w:lineRule="auto"/>
        <w:ind w:firstLine="700"/>
        <w:jc w:val="both"/>
        <w:rPr>
          <w:sz w:val="28"/>
          <w:szCs w:val="28"/>
        </w:rPr>
      </w:pPr>
      <w:r>
        <w:rPr>
          <w:color w:val="000000"/>
          <w:sz w:val="28"/>
          <w:szCs w:val="28"/>
          <w:lang w:bidi="ru-RU"/>
        </w:rPr>
        <w:t>а) ЛЭП 220 кВ в габарите 500 кВ, протяженностью 177 км от Навоийской ТЭС до ПП Бесопан, с последующим переводом на 500 кВ;</w:t>
      </w:r>
    </w:p>
    <w:p w14:paraId="3D9961D8">
      <w:pPr>
        <w:tabs>
          <w:tab w:val="left" w:pos="1282"/>
        </w:tabs>
        <w:spacing w:line="360" w:lineRule="auto"/>
        <w:ind w:firstLine="700"/>
        <w:jc w:val="both"/>
        <w:rPr>
          <w:sz w:val="28"/>
          <w:szCs w:val="28"/>
        </w:rPr>
      </w:pPr>
      <w:r>
        <w:rPr>
          <w:color w:val="000000"/>
          <w:sz w:val="28"/>
          <w:szCs w:val="28"/>
          <w:lang w:bidi="ru-RU"/>
        </w:rPr>
        <w:t>б) ПС 500/220 кВ Мурунтау с двумя автотрансформаторами мощностью 501 МВА каждый;</w:t>
      </w:r>
    </w:p>
    <w:p w14:paraId="404B7F20">
      <w:pPr>
        <w:tabs>
          <w:tab w:val="left" w:pos="1273"/>
        </w:tabs>
        <w:spacing w:line="360" w:lineRule="auto"/>
        <w:ind w:firstLine="700"/>
        <w:jc w:val="both"/>
        <w:rPr>
          <w:sz w:val="28"/>
          <w:szCs w:val="28"/>
        </w:rPr>
      </w:pPr>
      <w:r>
        <w:rPr>
          <w:color w:val="000000"/>
          <w:sz w:val="28"/>
          <w:szCs w:val="28"/>
          <w:lang w:bidi="ru-RU"/>
        </w:rPr>
        <w:t>в) ПС 500 кВ Сарымай, с двумя автотрансформаторами мощностью 501 МВА каждый;</w:t>
      </w:r>
    </w:p>
    <w:p w14:paraId="2B58B86E">
      <w:pPr>
        <w:tabs>
          <w:tab w:val="left" w:pos="1276"/>
          <w:tab w:val="right" w:pos="6299"/>
          <w:tab w:val="left" w:pos="6498"/>
          <w:tab w:val="right" w:pos="7854"/>
          <w:tab w:val="left" w:pos="8053"/>
          <w:tab w:val="right" w:pos="9641"/>
        </w:tabs>
        <w:spacing w:line="360" w:lineRule="auto"/>
        <w:ind w:firstLine="700"/>
        <w:jc w:val="both"/>
        <w:rPr>
          <w:sz w:val="28"/>
          <w:szCs w:val="28"/>
        </w:rPr>
      </w:pPr>
      <w:r>
        <w:rPr>
          <w:color w:val="000000"/>
          <w:sz w:val="28"/>
          <w:szCs w:val="28"/>
          <w:lang w:bidi="ru-RU"/>
        </w:rPr>
        <w:t>г) ЛЭП 500 кВ, протяженностью 226 км</w:t>
      </w:r>
      <w:r>
        <w:rPr>
          <w:color w:val="000000"/>
          <w:sz w:val="28"/>
          <w:szCs w:val="28"/>
          <w:lang w:bidi="ru-RU"/>
        </w:rPr>
        <w:tab/>
      </w:r>
      <w:r>
        <w:rPr>
          <w:color w:val="000000"/>
          <w:sz w:val="28"/>
          <w:szCs w:val="28"/>
          <w:lang w:bidi="ru-RU"/>
        </w:rPr>
        <w:t xml:space="preserve"> от ПС Сарымай </w:t>
      </w:r>
      <w:r>
        <w:rPr>
          <w:color w:val="000000"/>
          <w:sz w:val="28"/>
          <w:szCs w:val="28"/>
          <w:lang w:bidi="ru-RU"/>
        </w:rPr>
        <w:tab/>
      </w:r>
      <w:r>
        <w:rPr>
          <w:color w:val="000000"/>
          <w:sz w:val="28"/>
          <w:szCs w:val="28"/>
          <w:lang w:bidi="ru-RU"/>
        </w:rPr>
        <w:t>до</w:t>
      </w:r>
      <w:r>
        <w:rPr>
          <w:sz w:val="28"/>
          <w:szCs w:val="28"/>
        </w:rPr>
        <w:t xml:space="preserve"> </w:t>
      </w:r>
      <w:r>
        <w:rPr>
          <w:color w:val="000000"/>
          <w:sz w:val="28"/>
          <w:szCs w:val="28"/>
          <w:lang w:bidi="ru-RU"/>
        </w:rPr>
        <w:t>ПС Мурунтау;</w:t>
      </w:r>
    </w:p>
    <w:p w14:paraId="05A82A95">
      <w:pPr>
        <w:tabs>
          <w:tab w:val="left" w:pos="1285"/>
          <w:tab w:val="right" w:pos="6299"/>
          <w:tab w:val="left" w:pos="6498"/>
          <w:tab w:val="right" w:pos="7854"/>
          <w:tab w:val="left" w:pos="8053"/>
          <w:tab w:val="right" w:pos="9641"/>
        </w:tabs>
        <w:spacing w:line="360" w:lineRule="auto"/>
        <w:ind w:firstLine="700"/>
        <w:jc w:val="both"/>
        <w:rPr>
          <w:sz w:val="28"/>
          <w:szCs w:val="28"/>
        </w:rPr>
      </w:pPr>
      <w:r>
        <w:rPr>
          <w:color w:val="000000"/>
          <w:sz w:val="28"/>
          <w:szCs w:val="28"/>
          <w:lang w:bidi="ru-RU"/>
        </w:rPr>
        <w:t>д) ЛЭП 500 кВ, протяженностью 255</w:t>
      </w:r>
      <w:r>
        <w:rPr>
          <w:color w:val="000000"/>
          <w:sz w:val="28"/>
          <w:szCs w:val="28"/>
          <w:lang w:bidi="ru-RU"/>
        </w:rPr>
        <w:tab/>
      </w:r>
      <w:r>
        <w:rPr>
          <w:color w:val="000000"/>
          <w:sz w:val="28"/>
          <w:szCs w:val="28"/>
          <w:lang w:bidi="ru-RU"/>
        </w:rPr>
        <w:t>км от ПС</w:t>
      </w:r>
      <w:r>
        <w:rPr>
          <w:color w:val="000000"/>
          <w:sz w:val="28"/>
          <w:szCs w:val="28"/>
          <w:lang w:bidi="ru-RU"/>
        </w:rPr>
        <w:tab/>
      </w:r>
      <w:r>
        <w:rPr>
          <w:color w:val="000000"/>
          <w:sz w:val="28"/>
          <w:szCs w:val="28"/>
          <w:lang w:bidi="ru-RU"/>
        </w:rPr>
        <w:t xml:space="preserve"> Сарымай</w:t>
      </w:r>
      <w:r>
        <w:rPr>
          <w:color w:val="000000"/>
          <w:sz w:val="28"/>
          <w:szCs w:val="28"/>
          <w:lang w:bidi="ru-RU"/>
        </w:rPr>
        <w:tab/>
      </w:r>
      <w:r>
        <w:rPr>
          <w:color w:val="000000"/>
          <w:sz w:val="28"/>
          <w:szCs w:val="28"/>
          <w:lang w:bidi="ru-RU"/>
        </w:rPr>
        <w:t>до</w:t>
      </w:r>
    </w:p>
    <w:p w14:paraId="1F7648B5">
      <w:pPr>
        <w:spacing w:line="360" w:lineRule="auto"/>
        <w:jc w:val="both"/>
        <w:rPr>
          <w:sz w:val="28"/>
          <w:szCs w:val="28"/>
        </w:rPr>
      </w:pPr>
      <w:r>
        <w:rPr>
          <w:color w:val="000000"/>
          <w:sz w:val="28"/>
          <w:szCs w:val="28"/>
          <w:lang w:bidi="ru-RU"/>
        </w:rPr>
        <w:t>ПС Каракуль;</w:t>
      </w:r>
    </w:p>
    <w:p w14:paraId="17D01289">
      <w:pPr>
        <w:spacing w:line="360" w:lineRule="auto"/>
        <w:ind w:firstLine="700"/>
        <w:jc w:val="both"/>
        <w:rPr>
          <w:sz w:val="28"/>
          <w:szCs w:val="28"/>
        </w:rPr>
      </w:pPr>
      <w:r>
        <w:rPr>
          <w:color w:val="000000"/>
          <w:sz w:val="28"/>
          <w:szCs w:val="28"/>
          <w:lang w:bidi="ru-RU"/>
        </w:rPr>
        <w:t>- покрытия быстро растущего спроса на электрическую энергию потребителей г.Ташкента и Ташкентской области путем строительства ПС 500/220/110 кВ, с двумя автотрансформаторами мощностью 501 МВА каждый и ЛЭП напряжением 500 кВ, протяженностью 46 км (заход-выход от ЛЭП 500 кВ Л-550 и Л-502);</w:t>
      </w:r>
    </w:p>
    <w:p w14:paraId="2463CFE3">
      <w:pPr>
        <w:spacing w:line="360" w:lineRule="auto"/>
        <w:ind w:firstLine="700"/>
        <w:jc w:val="both"/>
        <w:rPr>
          <w:sz w:val="28"/>
          <w:szCs w:val="28"/>
        </w:rPr>
      </w:pPr>
      <w:r>
        <w:rPr>
          <w:color w:val="000000"/>
          <w:sz w:val="28"/>
          <w:szCs w:val="28"/>
          <w:lang w:bidi="ru-RU"/>
        </w:rPr>
        <w:t>- увеличения надежности Южного энергоузла, а также для увеличения потенциала экспорта и взаимодействия с электроэнергетическими системами других государств путем строительства следующих объектов электроснабжения:</w:t>
      </w:r>
    </w:p>
    <w:p w14:paraId="242B0132">
      <w:pPr>
        <w:tabs>
          <w:tab w:val="left" w:pos="1263"/>
        </w:tabs>
        <w:spacing w:line="360" w:lineRule="auto"/>
        <w:ind w:firstLine="700"/>
        <w:jc w:val="both"/>
        <w:rPr>
          <w:sz w:val="28"/>
          <w:szCs w:val="28"/>
        </w:rPr>
      </w:pPr>
      <w:r>
        <w:rPr>
          <w:color w:val="000000"/>
          <w:sz w:val="28"/>
          <w:szCs w:val="28"/>
          <w:lang w:bidi="ru-RU"/>
        </w:rPr>
        <w:t>а) ПС 500/220/110 кВ, с двумя автотрансформаторами мощностью 501 МВА каждый в Сурхандарьинской области;</w:t>
      </w:r>
    </w:p>
    <w:p w14:paraId="20D9AAD1">
      <w:pPr>
        <w:tabs>
          <w:tab w:val="left" w:pos="1292"/>
        </w:tabs>
        <w:spacing w:line="360" w:lineRule="auto"/>
        <w:ind w:firstLine="700"/>
        <w:jc w:val="both"/>
        <w:rPr>
          <w:sz w:val="28"/>
          <w:szCs w:val="28"/>
        </w:rPr>
      </w:pPr>
      <w:r>
        <w:rPr>
          <w:color w:val="000000"/>
          <w:sz w:val="28"/>
          <w:szCs w:val="28"/>
          <w:lang w:bidi="ru-RU"/>
        </w:rPr>
        <w:t>б) ЛЭП 500 кВ, протяженностью 200 км от ПС Сурхон-500 (Республика Узбекистан) до ПС Пули-Хумри (Исламская Республика Афганистан);</w:t>
      </w:r>
    </w:p>
    <w:p w14:paraId="597ACA9F">
      <w:pPr>
        <w:tabs>
          <w:tab w:val="left" w:pos="1282"/>
        </w:tabs>
        <w:spacing w:line="360" w:lineRule="auto"/>
        <w:ind w:firstLine="700"/>
        <w:jc w:val="both"/>
        <w:rPr>
          <w:sz w:val="28"/>
          <w:szCs w:val="28"/>
        </w:rPr>
      </w:pPr>
      <w:r>
        <w:rPr>
          <w:color w:val="000000"/>
          <w:sz w:val="28"/>
          <w:szCs w:val="28"/>
          <w:lang w:bidi="ru-RU"/>
        </w:rPr>
        <w:t>в) ЛЭП 500 кВ, протяженностью 63 км от ПС Гузар (Республика Узбекистан) до ПС Регар (Республика Таджикистан);</w:t>
      </w:r>
    </w:p>
    <w:p w14:paraId="56BC2687">
      <w:pPr>
        <w:spacing w:line="360" w:lineRule="auto"/>
        <w:ind w:firstLine="700"/>
        <w:jc w:val="both"/>
        <w:rPr>
          <w:sz w:val="28"/>
          <w:szCs w:val="28"/>
        </w:rPr>
      </w:pPr>
      <w:r>
        <w:rPr>
          <w:color w:val="000000"/>
          <w:sz w:val="28"/>
          <w:szCs w:val="28"/>
          <w:lang w:bidi="ru-RU"/>
        </w:rPr>
        <w:t>К 2030 году постепенно функции ЛЭП и ПС 220 кВ из системообразующих будут трансформированы в распределительные.</w:t>
      </w:r>
    </w:p>
    <w:p w14:paraId="0B1EF10C">
      <w:pPr>
        <w:spacing w:line="360" w:lineRule="auto"/>
        <w:ind w:firstLine="700"/>
        <w:jc w:val="both"/>
        <w:rPr>
          <w:sz w:val="28"/>
          <w:szCs w:val="28"/>
        </w:rPr>
      </w:pPr>
      <w:r>
        <w:rPr>
          <w:color w:val="000000"/>
          <w:sz w:val="28"/>
          <w:szCs w:val="28"/>
          <w:lang w:bidi="ru-RU"/>
        </w:rPr>
        <w:t>Результативность решения данной задачи будет обеспечена реализацией следующих основных мер:</w:t>
      </w:r>
    </w:p>
    <w:p w14:paraId="3D121155">
      <w:pPr>
        <w:spacing w:line="360" w:lineRule="auto"/>
        <w:ind w:firstLine="700"/>
        <w:jc w:val="both"/>
        <w:rPr>
          <w:sz w:val="28"/>
          <w:szCs w:val="28"/>
        </w:rPr>
      </w:pPr>
      <w:r>
        <w:rPr>
          <w:color w:val="000000"/>
          <w:sz w:val="28"/>
          <w:szCs w:val="28"/>
          <w:lang w:bidi="ru-RU"/>
        </w:rPr>
        <w:t>- модернизация и реконструкция ПС и магистральных ЛЭП в двух этапах:</w:t>
      </w:r>
    </w:p>
    <w:p w14:paraId="792FB7A7">
      <w:pPr>
        <w:tabs>
          <w:tab w:val="left" w:pos="1239"/>
        </w:tabs>
        <w:spacing w:line="360" w:lineRule="auto"/>
        <w:ind w:firstLine="700"/>
        <w:jc w:val="both"/>
        <w:rPr>
          <w:sz w:val="28"/>
          <w:szCs w:val="28"/>
        </w:rPr>
      </w:pPr>
      <w:r>
        <w:rPr>
          <w:color w:val="000000"/>
          <w:sz w:val="28"/>
          <w:szCs w:val="28"/>
          <w:lang w:bidi="ru-RU"/>
        </w:rPr>
        <w:t>а) на первом этапе до 2022 года - 22 ПС 220/110 кВ;</w:t>
      </w:r>
    </w:p>
    <w:p w14:paraId="36A57057">
      <w:pPr>
        <w:tabs>
          <w:tab w:val="left" w:pos="1243"/>
        </w:tabs>
        <w:spacing w:line="360" w:lineRule="auto"/>
        <w:ind w:firstLine="700"/>
        <w:jc w:val="both"/>
        <w:rPr>
          <w:sz w:val="28"/>
          <w:szCs w:val="28"/>
        </w:rPr>
      </w:pPr>
      <w:r>
        <w:rPr>
          <w:color w:val="000000"/>
          <w:sz w:val="28"/>
          <w:szCs w:val="28"/>
          <w:lang w:bidi="ru-RU"/>
        </w:rPr>
        <w:t>б) на втором этапе до 2028 года - 44 ПС и магистральные ЛЭП напряжением 110-220 кВ;</w:t>
      </w:r>
    </w:p>
    <w:p w14:paraId="03D37806">
      <w:pPr>
        <w:spacing w:line="360" w:lineRule="auto"/>
        <w:ind w:firstLine="700"/>
        <w:jc w:val="both"/>
        <w:rPr>
          <w:sz w:val="28"/>
          <w:szCs w:val="28"/>
        </w:rPr>
      </w:pPr>
      <w:r>
        <w:rPr>
          <w:color w:val="000000"/>
          <w:sz w:val="28"/>
          <w:szCs w:val="28"/>
          <w:lang w:bidi="ru-RU"/>
        </w:rPr>
        <w:t>- строительство пяти новых двухтрансформаторных ПС 220 кВ, общей мощностью 1250 МВА и строительство ЛЭП 220 кВ, общей протяженностью 246 км.</w:t>
      </w:r>
    </w:p>
    <w:p w14:paraId="62B03D6B">
      <w:pPr>
        <w:spacing w:line="360" w:lineRule="auto"/>
        <w:ind w:firstLine="700"/>
        <w:jc w:val="both"/>
        <w:rPr>
          <w:sz w:val="28"/>
          <w:szCs w:val="28"/>
        </w:rPr>
      </w:pPr>
      <w:r>
        <w:rPr>
          <w:color w:val="000000"/>
          <w:sz w:val="28"/>
          <w:szCs w:val="28"/>
          <w:lang w:bidi="ru-RU"/>
        </w:rPr>
        <w:t>Кроме этого, по мере создания энергоёмких промышленных предприятий, а также новых электростанций будут построены дополнительные ПС и ЛЭП 220 кВ.</w:t>
      </w:r>
    </w:p>
    <w:p w14:paraId="1E311767">
      <w:pPr>
        <w:spacing w:line="360" w:lineRule="auto"/>
        <w:ind w:firstLine="700"/>
        <w:jc w:val="both"/>
        <w:rPr>
          <w:sz w:val="28"/>
          <w:szCs w:val="28"/>
        </w:rPr>
      </w:pPr>
      <w:r>
        <w:rPr>
          <w:color w:val="000000"/>
          <w:sz w:val="28"/>
          <w:szCs w:val="28"/>
          <w:lang w:bidi="ru-RU"/>
        </w:rPr>
        <w:t>Для обеспечения оперативности технического обслуживания, в том числе сокращения эксплуатационных расходов и оперативной ликвидации технологических нарушений и отклонений, при реализации вышеуказанных проектов будут учтены нижеследующие основные направления по цифровизации и автоматизации объектов электроэнергетики:</w:t>
      </w:r>
    </w:p>
    <w:p w14:paraId="5C5B829D">
      <w:pPr>
        <w:spacing w:line="360" w:lineRule="auto"/>
        <w:ind w:firstLine="700"/>
        <w:jc w:val="both"/>
        <w:rPr>
          <w:sz w:val="28"/>
          <w:szCs w:val="28"/>
        </w:rPr>
      </w:pPr>
      <w:r>
        <w:rPr>
          <w:color w:val="000000"/>
          <w:sz w:val="28"/>
          <w:szCs w:val="28"/>
          <w:lang w:bidi="ru-RU"/>
        </w:rPr>
        <w:t xml:space="preserve">- для обеспечения в режиме реального времени работы систем сбора, обработки, отображения и архивирования информации о выработке, транспортировке и распределении электрической энергии, а также оптимизации потоков электрической энергии и загрузке генерирующих мощностей, предусматривается поэтапное внедрение системы технологического управления диспетчерского контроля и сбора данных </w:t>
      </w:r>
      <w:r>
        <w:rPr>
          <w:color w:val="000000"/>
          <w:sz w:val="28"/>
          <w:szCs w:val="28"/>
          <w:lang w:val="en-US" w:eastAsia="en-US" w:bidi="en-US"/>
        </w:rPr>
        <w:t>SCADA</w:t>
      </w:r>
      <w:r>
        <w:rPr>
          <w:color w:val="000000"/>
          <w:sz w:val="28"/>
          <w:szCs w:val="28"/>
          <w:lang w:eastAsia="en-US" w:bidi="en-US"/>
        </w:rPr>
        <w:t>;</w:t>
      </w:r>
    </w:p>
    <w:p w14:paraId="3DAEA3B7">
      <w:pPr>
        <w:spacing w:line="360" w:lineRule="auto"/>
        <w:ind w:firstLine="700"/>
        <w:jc w:val="both"/>
        <w:rPr>
          <w:sz w:val="28"/>
          <w:szCs w:val="28"/>
        </w:rPr>
      </w:pPr>
      <w:r>
        <w:rPr>
          <w:color w:val="000000"/>
          <w:sz w:val="28"/>
          <w:szCs w:val="28"/>
          <w:lang w:bidi="ru-RU"/>
        </w:rPr>
        <w:t>- при проектировании строительства новых, а также модернизации, реконструкции существующих ПС предусмотрено внедрение современных технологий, таких как «Цифровая подстанция».</w:t>
      </w:r>
    </w:p>
    <w:p w14:paraId="6FCB85C9">
      <w:pPr>
        <w:spacing w:line="360" w:lineRule="auto"/>
        <w:ind w:firstLine="700"/>
        <w:jc w:val="both"/>
        <w:rPr>
          <w:sz w:val="28"/>
          <w:szCs w:val="28"/>
        </w:rPr>
      </w:pPr>
      <w:r>
        <w:rPr>
          <w:color w:val="000000"/>
          <w:sz w:val="28"/>
          <w:szCs w:val="28"/>
          <w:lang w:bidi="ru-RU"/>
        </w:rPr>
        <w:t xml:space="preserve">- при проектировании строительства новых магистральных ЛЭП для сокращения эксплуатационных расходов и отводов земель будут внедрены новые стандарты, предусматривающие строительство многоцепных воздушных ЛЭП, на основе стандартов </w:t>
      </w:r>
      <w:r>
        <w:rPr>
          <w:color w:val="000000"/>
          <w:sz w:val="28"/>
          <w:szCs w:val="28"/>
          <w:lang w:val="en-US" w:eastAsia="en-US" w:bidi="en-US"/>
        </w:rPr>
        <w:t>IEC</w:t>
      </w:r>
      <w:r>
        <w:rPr>
          <w:color w:val="000000"/>
          <w:sz w:val="28"/>
          <w:szCs w:val="28"/>
          <w:lang w:eastAsia="en-US" w:bidi="en-US"/>
        </w:rPr>
        <w:t>.</w:t>
      </w:r>
    </w:p>
    <w:p w14:paraId="6DD855D8">
      <w:pPr>
        <w:spacing w:line="360" w:lineRule="auto"/>
        <w:ind w:firstLine="700"/>
        <w:jc w:val="both"/>
        <w:rPr>
          <w:color w:val="000000"/>
          <w:sz w:val="28"/>
          <w:szCs w:val="28"/>
          <w:lang w:bidi="ru-RU"/>
        </w:rPr>
      </w:pPr>
      <w:r>
        <w:rPr>
          <w:color w:val="000000"/>
          <w:sz w:val="28"/>
          <w:szCs w:val="28"/>
          <w:lang w:bidi="ru-RU"/>
        </w:rPr>
        <w:t>Проведение работ по строительству, модернизации и реконструкции магистральных электрических сетей будет осуществляться за счет собственных и заемных средств АО «Национальные электрические сети Узбекистана», с возможным исключением в случаях подключения независимых производителей электрической энергии к единой электроэнергетической системе.</w:t>
      </w:r>
    </w:p>
    <w:p w14:paraId="1F6239FB">
      <w:pPr>
        <w:pStyle w:val="5"/>
        <w:shd w:val="clear" w:color="auto" w:fill="auto"/>
        <w:tabs>
          <w:tab w:val="left" w:pos="1047"/>
        </w:tabs>
        <w:spacing w:line="360" w:lineRule="auto"/>
        <w:rPr>
          <w:sz w:val="28"/>
          <w:szCs w:val="28"/>
        </w:rPr>
      </w:pPr>
      <w:r>
        <w:rPr>
          <w:color w:val="000000"/>
          <w:sz w:val="28"/>
          <w:szCs w:val="28"/>
          <w:lang w:eastAsia="ru-RU" w:bidi="ru-RU"/>
        </w:rPr>
        <w:t>Развитие распределительных электрических сетей.</w:t>
      </w:r>
    </w:p>
    <w:p w14:paraId="16570510">
      <w:pPr>
        <w:spacing w:line="360" w:lineRule="auto"/>
        <w:ind w:firstLine="700"/>
        <w:jc w:val="both"/>
        <w:rPr>
          <w:sz w:val="28"/>
          <w:szCs w:val="28"/>
        </w:rPr>
      </w:pPr>
      <w:r>
        <w:rPr>
          <w:color w:val="000000"/>
          <w:sz w:val="28"/>
          <w:szCs w:val="28"/>
          <w:lang w:bidi="ru-RU"/>
        </w:rPr>
        <w:t>Распределительные электрические сети используются для поставки электрической энергии конечным потребителям и характеризуются достаточно динамичным развитием, а также высоким уровнем технологических потерь.</w:t>
      </w:r>
    </w:p>
    <w:p w14:paraId="2369F71A">
      <w:pPr>
        <w:spacing w:line="360" w:lineRule="auto"/>
        <w:ind w:firstLine="700"/>
        <w:jc w:val="both"/>
        <w:rPr>
          <w:sz w:val="28"/>
          <w:szCs w:val="28"/>
        </w:rPr>
      </w:pPr>
      <w:r>
        <w:rPr>
          <w:color w:val="000000"/>
          <w:sz w:val="28"/>
          <w:szCs w:val="28"/>
          <w:lang w:bidi="ru-RU"/>
        </w:rPr>
        <w:t>К основным приоритетным направлениям развития распределительных электрических сетей отнесено:</w:t>
      </w:r>
    </w:p>
    <w:p w14:paraId="33397471">
      <w:pPr>
        <w:spacing w:line="360" w:lineRule="auto"/>
        <w:ind w:firstLine="700"/>
        <w:jc w:val="both"/>
        <w:rPr>
          <w:sz w:val="28"/>
          <w:szCs w:val="28"/>
        </w:rPr>
      </w:pPr>
      <w:r>
        <w:rPr>
          <w:color w:val="000000"/>
          <w:sz w:val="28"/>
          <w:szCs w:val="28"/>
          <w:lang w:bidi="ru-RU"/>
        </w:rPr>
        <w:t>- снижение уровня технологических и коммерческих потерь электрической энергии при ее распределении;</w:t>
      </w:r>
    </w:p>
    <w:p w14:paraId="3E34DE47">
      <w:pPr>
        <w:spacing w:line="360" w:lineRule="auto"/>
        <w:ind w:firstLine="700"/>
        <w:jc w:val="both"/>
        <w:rPr>
          <w:sz w:val="28"/>
          <w:szCs w:val="28"/>
        </w:rPr>
      </w:pPr>
      <w:r>
        <w:rPr>
          <w:color w:val="000000"/>
          <w:sz w:val="28"/>
          <w:szCs w:val="28"/>
          <w:lang w:bidi="ru-RU"/>
        </w:rPr>
        <w:t>- повышение надежности и качества электроснабжения потребителей.</w:t>
      </w:r>
    </w:p>
    <w:p w14:paraId="0D4031B9">
      <w:pPr>
        <w:spacing w:line="360" w:lineRule="auto"/>
        <w:ind w:firstLine="700"/>
        <w:jc w:val="both"/>
        <w:rPr>
          <w:sz w:val="28"/>
          <w:szCs w:val="28"/>
        </w:rPr>
      </w:pPr>
      <w:r>
        <w:rPr>
          <w:color w:val="000000"/>
          <w:sz w:val="28"/>
          <w:szCs w:val="28"/>
          <w:lang w:bidi="ru-RU"/>
        </w:rPr>
        <w:t>По мере перехода на оптовый конкурентный рынок электрической энергии функции эксплуатации распределительной сети и сбыта электрической энергии потребителям будут разделены, при этом распределительные электрические сети останутся в собственности государства. Функции сбыта электрической энергии постепенно будут переданы частным компаниям- ритейлерам, на условиях ГЧП по итогам проведения прозрачных конкурсных отборов.</w:t>
      </w:r>
    </w:p>
    <w:p w14:paraId="72C03735">
      <w:pPr>
        <w:spacing w:line="360" w:lineRule="auto"/>
        <w:ind w:firstLine="700"/>
        <w:jc w:val="both"/>
        <w:rPr>
          <w:sz w:val="28"/>
          <w:szCs w:val="28"/>
        </w:rPr>
      </w:pPr>
      <w:r>
        <w:rPr>
          <w:color w:val="000000"/>
          <w:sz w:val="28"/>
          <w:szCs w:val="28"/>
          <w:lang w:bidi="ru-RU"/>
        </w:rPr>
        <w:t>В 2020 году принята государственная программа, предусматривающая строительство новых и модернизацию существующих электрических сетей напряжением 35-110 кВ в 2021-2025 годах, а также будут продолжены работы по модернизации и реконструкции низковольтных распределительных сетей с принятием соответствующей государственной программы в 2022-2025 годах.</w:t>
      </w:r>
    </w:p>
    <w:p w14:paraId="5312E483">
      <w:pPr>
        <w:spacing w:line="360" w:lineRule="auto"/>
        <w:ind w:firstLine="700"/>
        <w:jc w:val="both"/>
        <w:rPr>
          <w:sz w:val="28"/>
          <w:szCs w:val="28"/>
        </w:rPr>
      </w:pPr>
      <w:r>
        <w:rPr>
          <w:color w:val="000000"/>
          <w:sz w:val="28"/>
          <w:szCs w:val="28"/>
          <w:lang w:bidi="ru-RU"/>
        </w:rPr>
        <w:t>Модернизация существующих и строительство новых распределительных электрических сетей 110/35/10/0,4 кВ будут проводиться на основе следующих принципов:</w:t>
      </w:r>
    </w:p>
    <w:p w14:paraId="16D563F6">
      <w:pPr>
        <w:spacing w:line="360" w:lineRule="auto"/>
        <w:ind w:firstLine="700"/>
        <w:jc w:val="both"/>
        <w:rPr>
          <w:sz w:val="28"/>
          <w:szCs w:val="28"/>
        </w:rPr>
      </w:pPr>
      <w:r>
        <w:rPr>
          <w:color w:val="000000"/>
          <w:sz w:val="28"/>
          <w:szCs w:val="28"/>
          <w:lang w:bidi="ru-RU"/>
        </w:rPr>
        <w:t>- увеличение количества ПС 110/35/10 кВ за счет строительства новых и перевода ПС 35/10 кВ на более высокий класс напряжения;</w:t>
      </w:r>
    </w:p>
    <w:p w14:paraId="13689D33">
      <w:pPr>
        <w:spacing w:line="360" w:lineRule="auto"/>
        <w:ind w:firstLine="700"/>
        <w:jc w:val="both"/>
        <w:rPr>
          <w:sz w:val="28"/>
          <w:szCs w:val="28"/>
        </w:rPr>
      </w:pPr>
      <w:r>
        <w:rPr>
          <w:color w:val="000000"/>
          <w:sz w:val="28"/>
          <w:szCs w:val="28"/>
          <w:lang w:bidi="ru-RU"/>
        </w:rPr>
        <w:t>- осуществление строительства ЛЭП напряжением 10, 35 и 110 кВ путем прокладки подземных кабелей или самонесущими изолированными проводами в пределах городов и населенных пунктов;</w:t>
      </w:r>
    </w:p>
    <w:p w14:paraId="2F637649">
      <w:pPr>
        <w:spacing w:line="360" w:lineRule="auto"/>
        <w:ind w:firstLine="700"/>
        <w:jc w:val="both"/>
        <w:rPr>
          <w:sz w:val="28"/>
          <w:szCs w:val="28"/>
        </w:rPr>
      </w:pPr>
      <w:r>
        <w:rPr>
          <w:color w:val="000000"/>
          <w:sz w:val="28"/>
          <w:szCs w:val="28"/>
          <w:lang w:bidi="ru-RU"/>
        </w:rPr>
        <w:t>- перевод ПС 35 кВ и 110 кВ на закрытый тип в пределах городов и крупных населенных пунктов;</w:t>
      </w:r>
    </w:p>
    <w:p w14:paraId="15BD904F">
      <w:pPr>
        <w:spacing w:line="360" w:lineRule="auto"/>
        <w:ind w:firstLine="700"/>
        <w:jc w:val="both"/>
        <w:rPr>
          <w:sz w:val="28"/>
          <w:szCs w:val="28"/>
        </w:rPr>
      </w:pPr>
      <w:r>
        <w:rPr>
          <w:color w:val="000000"/>
          <w:sz w:val="28"/>
          <w:szCs w:val="28"/>
          <w:lang w:bidi="ru-RU"/>
        </w:rPr>
        <w:t>- широкое применение понижающих трансформаторов 35/0,4 кВ в пределах городов и крупных населенных пунктов;</w:t>
      </w:r>
    </w:p>
    <w:p w14:paraId="2455EC9C">
      <w:pPr>
        <w:spacing w:line="360" w:lineRule="auto"/>
        <w:ind w:firstLine="700"/>
        <w:jc w:val="both"/>
        <w:rPr>
          <w:sz w:val="28"/>
          <w:szCs w:val="28"/>
        </w:rPr>
      </w:pPr>
      <w:r>
        <w:rPr>
          <w:color w:val="000000"/>
          <w:sz w:val="28"/>
          <w:szCs w:val="28"/>
          <w:lang w:bidi="ru-RU"/>
        </w:rPr>
        <w:t>- поэтапный отказ от системы электроснабжения на напряжении 6 кВ с переходом на систему 10 кВ и 35 кВ;</w:t>
      </w:r>
    </w:p>
    <w:p w14:paraId="0F62E235">
      <w:pPr>
        <w:spacing w:line="360" w:lineRule="auto"/>
        <w:ind w:firstLine="700"/>
        <w:jc w:val="both"/>
        <w:rPr>
          <w:sz w:val="28"/>
          <w:szCs w:val="28"/>
        </w:rPr>
      </w:pPr>
      <w:r>
        <w:rPr>
          <w:color w:val="000000"/>
          <w:sz w:val="28"/>
          <w:szCs w:val="28"/>
          <w:lang w:bidi="ru-RU"/>
        </w:rPr>
        <w:t>- замена проводов на воздушных ЛЭП напряжением 0,4-10кВ на самонесущие изолированные провода, с одновременным сокращением протяженности ЛЭП 0,4 кВ.</w:t>
      </w:r>
    </w:p>
    <w:p w14:paraId="5F8CD44F">
      <w:pPr>
        <w:spacing w:line="360" w:lineRule="auto"/>
        <w:ind w:firstLine="700"/>
        <w:jc w:val="both"/>
        <w:rPr>
          <w:sz w:val="28"/>
          <w:szCs w:val="28"/>
        </w:rPr>
      </w:pPr>
      <w:r>
        <w:rPr>
          <w:color w:val="000000"/>
          <w:sz w:val="28"/>
          <w:szCs w:val="28"/>
          <w:lang w:bidi="ru-RU"/>
        </w:rPr>
        <w:t>В течение 2020-2021 годов в рамках программы цифровизации электроэнергетической отрасли будут:</w:t>
      </w:r>
    </w:p>
    <w:p w14:paraId="38B9B85C">
      <w:pPr>
        <w:spacing w:line="360" w:lineRule="auto"/>
        <w:ind w:firstLine="700"/>
        <w:jc w:val="both"/>
        <w:rPr>
          <w:sz w:val="28"/>
          <w:szCs w:val="28"/>
        </w:rPr>
      </w:pPr>
      <w:r>
        <w:rPr>
          <w:color w:val="000000"/>
          <w:sz w:val="28"/>
          <w:szCs w:val="28"/>
          <w:lang w:bidi="ru-RU"/>
        </w:rPr>
        <w:t>- создан Единый центр обработки данных;</w:t>
      </w:r>
    </w:p>
    <w:p w14:paraId="47E27D35">
      <w:pPr>
        <w:spacing w:line="360" w:lineRule="auto"/>
        <w:ind w:firstLine="700"/>
        <w:jc w:val="both"/>
        <w:rPr>
          <w:sz w:val="28"/>
          <w:szCs w:val="28"/>
        </w:rPr>
      </w:pPr>
      <w:r>
        <w:rPr>
          <w:color w:val="000000"/>
          <w:sz w:val="28"/>
          <w:szCs w:val="28"/>
          <w:lang w:bidi="ru-RU"/>
        </w:rPr>
        <w:t>- завершен проект по внедрению АСКУЭ у всех потребителей и на объектах энергосистемы;</w:t>
      </w:r>
    </w:p>
    <w:p w14:paraId="56EA47A6">
      <w:pPr>
        <w:spacing w:line="360" w:lineRule="auto"/>
        <w:ind w:firstLine="700"/>
        <w:jc w:val="both"/>
        <w:rPr>
          <w:sz w:val="28"/>
          <w:szCs w:val="28"/>
        </w:rPr>
      </w:pPr>
      <w:r>
        <w:rPr>
          <w:color w:val="000000"/>
          <w:sz w:val="28"/>
          <w:szCs w:val="28"/>
          <w:lang w:bidi="ru-RU"/>
        </w:rPr>
        <w:t>- разработаны и введены в эксплуатацию программные комплексы «Биллинг» и «Анализ и прогноз потребления электрической энергии».</w:t>
      </w:r>
    </w:p>
    <w:p w14:paraId="74CB8CA2">
      <w:pPr>
        <w:spacing w:line="360" w:lineRule="auto"/>
        <w:ind w:firstLine="700"/>
        <w:jc w:val="both"/>
        <w:rPr>
          <w:color w:val="000000"/>
          <w:sz w:val="28"/>
          <w:szCs w:val="28"/>
          <w:lang w:bidi="ru-RU"/>
        </w:rPr>
      </w:pPr>
      <w:r>
        <w:rPr>
          <w:color w:val="000000"/>
          <w:sz w:val="28"/>
          <w:szCs w:val="28"/>
          <w:lang w:bidi="ru-RU"/>
        </w:rPr>
        <w:t>Финансирование работ по строительству новых, модернизации и реконструкции, существующих ЛЭП и ПС будет осуществляться за счет долгосрочных кредитов МФИ и собственных средств АО «Региональные электрические сети».</w:t>
      </w:r>
    </w:p>
    <w:p w14:paraId="3FDF212E">
      <w:pPr>
        <w:spacing w:line="360" w:lineRule="auto"/>
        <w:ind w:firstLine="700"/>
        <w:jc w:val="both"/>
        <w:rPr>
          <w:color w:val="000000"/>
          <w:sz w:val="28"/>
          <w:szCs w:val="28"/>
          <w:lang w:bidi="ru-RU"/>
        </w:rPr>
      </w:pPr>
    </w:p>
    <w:p w14:paraId="617FD157">
      <w:pPr>
        <w:pStyle w:val="5"/>
        <w:shd w:val="clear" w:color="auto" w:fill="auto"/>
        <w:tabs>
          <w:tab w:val="left" w:pos="1009"/>
        </w:tabs>
        <w:spacing w:line="360" w:lineRule="auto"/>
        <w:rPr>
          <w:sz w:val="28"/>
          <w:szCs w:val="28"/>
        </w:rPr>
      </w:pPr>
      <w:r>
        <w:rPr>
          <w:color w:val="000000"/>
          <w:sz w:val="28"/>
          <w:szCs w:val="28"/>
          <w:lang w:eastAsia="ru-RU" w:bidi="ru-RU"/>
        </w:rPr>
        <w:t>Переход к оптовому рынку и совершенствование тарифной политики в электроэнергетической отрасли.</w:t>
      </w:r>
    </w:p>
    <w:p w14:paraId="7F8ED9BB">
      <w:pPr>
        <w:spacing w:line="360" w:lineRule="auto"/>
        <w:ind w:firstLine="700"/>
        <w:jc w:val="both"/>
        <w:rPr>
          <w:sz w:val="28"/>
          <w:szCs w:val="28"/>
        </w:rPr>
      </w:pPr>
      <w:r>
        <w:rPr>
          <w:color w:val="000000"/>
          <w:sz w:val="28"/>
          <w:szCs w:val="28"/>
          <w:lang w:bidi="ru-RU"/>
        </w:rPr>
        <w:t>Переход к оптовому рынку электрической энергии будет осуществляться поэтапно в период 2020-2023 гг. с переходом на каждый следующий этап по мере выполнения обязательных условий. Конкурентный оптовый рынок сформируется в 2023 году и всем его участникам будет обеспечен равный и беспрепятственный доступ к магистральным электрическим сетям.</w:t>
      </w:r>
    </w:p>
    <w:p w14:paraId="2643E70D">
      <w:pPr>
        <w:spacing w:line="360" w:lineRule="auto"/>
        <w:ind w:firstLine="700"/>
        <w:jc w:val="both"/>
        <w:rPr>
          <w:sz w:val="28"/>
          <w:szCs w:val="28"/>
        </w:rPr>
      </w:pPr>
      <w:r>
        <w:rPr>
          <w:color w:val="000000"/>
          <w:sz w:val="28"/>
          <w:szCs w:val="28"/>
          <w:lang w:bidi="ru-RU"/>
        </w:rPr>
        <w:t>Начиная с 2023 года все производители электрической энергии станут участниками оптового рынка, при продолжении выполнения государством своих обязательств по ранее заключенным Соглашениям по закупке электрической энергии.</w:t>
      </w:r>
    </w:p>
    <w:p w14:paraId="1603AAFA">
      <w:pPr>
        <w:spacing w:line="360" w:lineRule="auto"/>
        <w:ind w:firstLine="700"/>
        <w:jc w:val="both"/>
        <w:rPr>
          <w:sz w:val="28"/>
          <w:szCs w:val="28"/>
        </w:rPr>
      </w:pPr>
      <w:r>
        <w:rPr>
          <w:color w:val="000000"/>
          <w:sz w:val="28"/>
          <w:szCs w:val="28"/>
          <w:lang w:bidi="ru-RU"/>
        </w:rPr>
        <w:t>При этом, начиная с 2021 года функции Единого закупщика будут переданы от АО «Национальные электрические сети Узбекистана» вновь созданному Гарантированному закупщику - государственной трейдинговой компании, которая также будет осуществлять функции по импорту и экспорту электрической энергии.</w:t>
      </w:r>
    </w:p>
    <w:p w14:paraId="25C2F6B7">
      <w:pPr>
        <w:spacing w:line="360" w:lineRule="auto"/>
        <w:ind w:firstLine="700"/>
        <w:jc w:val="both"/>
        <w:rPr>
          <w:sz w:val="28"/>
          <w:szCs w:val="28"/>
        </w:rPr>
      </w:pPr>
      <w:r>
        <w:rPr>
          <w:color w:val="000000"/>
          <w:sz w:val="28"/>
          <w:szCs w:val="28"/>
          <w:lang w:bidi="ru-RU"/>
        </w:rPr>
        <w:t>В течение 2020-2022 годов утверждены:</w:t>
      </w:r>
    </w:p>
    <w:p w14:paraId="437F7F4E">
      <w:pPr>
        <w:spacing w:line="360" w:lineRule="auto"/>
        <w:ind w:firstLine="700"/>
        <w:jc w:val="both"/>
        <w:rPr>
          <w:sz w:val="28"/>
          <w:szCs w:val="28"/>
        </w:rPr>
      </w:pPr>
      <w:r>
        <w:rPr>
          <w:color w:val="000000"/>
          <w:sz w:val="28"/>
          <w:szCs w:val="28"/>
          <w:lang w:bidi="ru-RU"/>
        </w:rPr>
        <w:t>- модели оптового рынка электрической энергии (ежемесячные контракты - торги на день вперед - торги в течении дня) и переходные этапы;</w:t>
      </w:r>
    </w:p>
    <w:p w14:paraId="0D43AF5A">
      <w:pPr>
        <w:spacing w:line="360" w:lineRule="auto"/>
        <w:ind w:firstLine="700"/>
        <w:jc w:val="both"/>
        <w:rPr>
          <w:sz w:val="28"/>
          <w:szCs w:val="28"/>
        </w:rPr>
      </w:pPr>
      <w:r>
        <w:rPr>
          <w:color w:val="000000"/>
          <w:sz w:val="28"/>
          <w:szCs w:val="28"/>
          <w:lang w:bidi="ru-RU"/>
        </w:rPr>
        <w:t>- модель балансирующего рынка электрической энергии;</w:t>
      </w:r>
    </w:p>
    <w:p w14:paraId="78AAC544">
      <w:pPr>
        <w:spacing w:line="360" w:lineRule="auto"/>
        <w:ind w:firstLine="700"/>
        <w:jc w:val="both"/>
        <w:rPr>
          <w:sz w:val="28"/>
          <w:szCs w:val="28"/>
        </w:rPr>
      </w:pPr>
      <w:r>
        <w:rPr>
          <w:color w:val="000000"/>
          <w:sz w:val="28"/>
          <w:szCs w:val="28"/>
          <w:lang w:bidi="ru-RU"/>
        </w:rPr>
        <w:t>- правила функционирования рынков;</w:t>
      </w:r>
    </w:p>
    <w:p w14:paraId="4A5EBD09">
      <w:pPr>
        <w:spacing w:line="360" w:lineRule="auto"/>
        <w:ind w:firstLine="700"/>
        <w:jc w:val="both"/>
        <w:rPr>
          <w:sz w:val="28"/>
          <w:szCs w:val="28"/>
        </w:rPr>
      </w:pPr>
      <w:r>
        <w:rPr>
          <w:color w:val="000000"/>
          <w:sz w:val="28"/>
          <w:szCs w:val="28"/>
          <w:lang w:bidi="ru-RU"/>
        </w:rPr>
        <w:t>- порядок лицензирования участников рынка.</w:t>
      </w:r>
    </w:p>
    <w:p w14:paraId="2F86DB83">
      <w:pPr>
        <w:spacing w:line="360" w:lineRule="auto"/>
        <w:ind w:firstLine="700"/>
        <w:jc w:val="both"/>
        <w:rPr>
          <w:sz w:val="28"/>
          <w:szCs w:val="28"/>
        </w:rPr>
      </w:pPr>
      <w:r>
        <w:rPr>
          <w:color w:val="000000"/>
          <w:sz w:val="28"/>
          <w:szCs w:val="28"/>
          <w:lang w:bidi="ru-RU"/>
        </w:rPr>
        <w:t>В течение 2020-2021 годов созданы:</w:t>
      </w:r>
    </w:p>
    <w:p w14:paraId="639FF0E0">
      <w:pPr>
        <w:spacing w:line="360" w:lineRule="auto"/>
        <w:ind w:firstLine="700"/>
        <w:jc w:val="both"/>
        <w:rPr>
          <w:sz w:val="28"/>
          <w:szCs w:val="28"/>
        </w:rPr>
      </w:pPr>
      <w:r>
        <w:rPr>
          <w:color w:val="000000"/>
          <w:sz w:val="28"/>
          <w:szCs w:val="28"/>
          <w:lang w:bidi="ru-RU"/>
        </w:rPr>
        <w:t>Независимый Регулятор энергетического рынка - финансово независимый орган, вне состава правительства, осуществляющий регулирующие, лицензирующие и контрольные функции на рынке электрической энергии и природного газа;</w:t>
      </w:r>
    </w:p>
    <w:p w14:paraId="09E8BBBD">
      <w:pPr>
        <w:spacing w:line="360" w:lineRule="auto"/>
        <w:ind w:firstLine="700"/>
        <w:jc w:val="both"/>
        <w:rPr>
          <w:sz w:val="28"/>
          <w:szCs w:val="28"/>
        </w:rPr>
      </w:pPr>
      <w:r>
        <w:rPr>
          <w:color w:val="000000"/>
          <w:sz w:val="28"/>
          <w:szCs w:val="28"/>
          <w:lang w:bidi="ru-RU"/>
        </w:rPr>
        <w:t>Оператор энергетического рынка - государственная компания (первоначально из 10 - 15 человек) с он-лайн платформами, посредством которых будут осуществляться все операции по покупке и продаже электрической энергии и природного газа на оптовом рынке. Величина комиссии Оператора будет утверждаться Независимым Регулятором энергетического рынка.</w:t>
      </w:r>
    </w:p>
    <w:p w14:paraId="4076E686">
      <w:pPr>
        <w:spacing w:line="360" w:lineRule="auto"/>
        <w:ind w:firstLine="700"/>
        <w:jc w:val="both"/>
        <w:rPr>
          <w:sz w:val="28"/>
          <w:szCs w:val="28"/>
        </w:rPr>
      </w:pPr>
      <w:r>
        <w:rPr>
          <w:color w:val="000000"/>
          <w:sz w:val="28"/>
          <w:szCs w:val="28"/>
          <w:lang w:bidi="ru-RU"/>
        </w:rPr>
        <w:t>Так как, переход на оптовый рынок электрической энергии осуществлен поэтапно, начиная с 2021 года, отдельным категориям потребителей будут предоставлены:</w:t>
      </w:r>
    </w:p>
    <w:p w14:paraId="2C768A9B">
      <w:pPr>
        <w:spacing w:line="360" w:lineRule="auto"/>
        <w:ind w:firstLine="700"/>
        <w:jc w:val="both"/>
        <w:rPr>
          <w:sz w:val="28"/>
          <w:szCs w:val="28"/>
        </w:rPr>
      </w:pPr>
      <w:r>
        <w:rPr>
          <w:color w:val="000000"/>
          <w:sz w:val="28"/>
          <w:szCs w:val="28"/>
          <w:lang w:bidi="ru-RU"/>
        </w:rPr>
        <w:t>- право закупа электрической энергии напрямую у ее производителей;</w:t>
      </w:r>
    </w:p>
    <w:p w14:paraId="5AB033AC">
      <w:pPr>
        <w:spacing w:line="360" w:lineRule="auto"/>
        <w:ind w:firstLine="700"/>
        <w:jc w:val="both"/>
        <w:rPr>
          <w:sz w:val="28"/>
          <w:szCs w:val="28"/>
        </w:rPr>
      </w:pPr>
      <w:r>
        <w:rPr>
          <w:color w:val="000000"/>
          <w:sz w:val="28"/>
          <w:szCs w:val="28"/>
          <w:lang w:bidi="ru-RU"/>
        </w:rPr>
        <w:t>- гарантии по обеспечению транспортировки электрической энергии, с обязательной оплатой услуг по транспортировке, от источников генерации, принадлежащих этим потребителям до точек потребления.</w:t>
      </w:r>
    </w:p>
    <w:p w14:paraId="34BB45BF">
      <w:pPr>
        <w:spacing w:line="360" w:lineRule="auto"/>
        <w:ind w:firstLine="700"/>
        <w:jc w:val="both"/>
        <w:rPr>
          <w:sz w:val="28"/>
          <w:szCs w:val="28"/>
        </w:rPr>
      </w:pPr>
      <w:r>
        <w:rPr>
          <w:color w:val="000000"/>
          <w:sz w:val="28"/>
          <w:szCs w:val="28"/>
          <w:lang w:bidi="ru-RU"/>
        </w:rPr>
        <w:t>Для создания правовых основ функционирования рынка в период 2020-2021 гг. будут приняты:</w:t>
      </w:r>
    </w:p>
    <w:p w14:paraId="0F6F7852">
      <w:pPr>
        <w:spacing w:line="360" w:lineRule="auto"/>
        <w:ind w:firstLine="700"/>
        <w:jc w:val="both"/>
        <w:rPr>
          <w:sz w:val="28"/>
          <w:szCs w:val="28"/>
        </w:rPr>
      </w:pPr>
      <w:r>
        <w:rPr>
          <w:color w:val="000000"/>
          <w:sz w:val="28"/>
          <w:szCs w:val="28"/>
          <w:lang w:bidi="ru-RU"/>
        </w:rPr>
        <w:t>Закон Республики Узбекистан «Об электроэнергетике» в новой редакции;</w:t>
      </w:r>
    </w:p>
    <w:p w14:paraId="4267A3A7">
      <w:pPr>
        <w:spacing w:line="360" w:lineRule="auto"/>
        <w:ind w:firstLine="700"/>
        <w:jc w:val="both"/>
        <w:rPr>
          <w:sz w:val="28"/>
          <w:szCs w:val="28"/>
        </w:rPr>
      </w:pPr>
      <w:r>
        <w:rPr>
          <w:color w:val="000000"/>
          <w:sz w:val="28"/>
          <w:szCs w:val="28"/>
          <w:lang w:bidi="ru-RU"/>
        </w:rPr>
        <w:t>Закон Республики Узбекистан «О Независимом Регуляторе энергетического рынка»;</w:t>
      </w:r>
    </w:p>
    <w:p w14:paraId="1CFE0A8C">
      <w:pPr>
        <w:spacing w:line="360" w:lineRule="auto"/>
        <w:ind w:firstLine="700"/>
        <w:jc w:val="both"/>
        <w:rPr>
          <w:sz w:val="28"/>
          <w:szCs w:val="28"/>
        </w:rPr>
      </w:pPr>
      <w:r>
        <w:rPr>
          <w:color w:val="000000"/>
          <w:sz w:val="28"/>
          <w:szCs w:val="28"/>
          <w:lang w:bidi="ru-RU"/>
        </w:rPr>
        <w:t xml:space="preserve">Электросетевой Кодекс </w:t>
      </w:r>
      <w:r>
        <w:rPr>
          <w:color w:val="000000"/>
          <w:sz w:val="28"/>
          <w:szCs w:val="28"/>
          <w:lang w:eastAsia="en-US" w:bidi="en-US"/>
        </w:rPr>
        <w:t>(</w:t>
      </w:r>
      <w:r>
        <w:rPr>
          <w:color w:val="000000"/>
          <w:sz w:val="28"/>
          <w:szCs w:val="28"/>
          <w:lang w:val="en-US" w:eastAsia="en-US" w:bidi="en-US"/>
        </w:rPr>
        <w:t>Grid</w:t>
      </w:r>
      <w:r>
        <w:rPr>
          <w:color w:val="000000"/>
          <w:sz w:val="28"/>
          <w:szCs w:val="28"/>
          <w:lang w:eastAsia="en-US" w:bidi="en-US"/>
        </w:rPr>
        <w:t xml:space="preserve"> </w:t>
      </w:r>
      <w:r>
        <w:rPr>
          <w:color w:val="000000"/>
          <w:sz w:val="28"/>
          <w:szCs w:val="28"/>
          <w:lang w:val="en-US" w:eastAsia="en-US" w:bidi="en-US"/>
        </w:rPr>
        <w:t>Code</w:t>
      </w:r>
      <w:r>
        <w:rPr>
          <w:color w:val="000000"/>
          <w:sz w:val="28"/>
          <w:szCs w:val="28"/>
          <w:lang w:eastAsia="en-US" w:bidi="en-US"/>
        </w:rPr>
        <w:t xml:space="preserve">), </w:t>
      </w:r>
      <w:r>
        <w:rPr>
          <w:color w:val="000000"/>
          <w:sz w:val="28"/>
          <w:szCs w:val="28"/>
          <w:lang w:bidi="ru-RU"/>
        </w:rPr>
        <w:t>а также другие необходимые нормативно-правовые акты.</w:t>
      </w:r>
    </w:p>
    <w:p w14:paraId="58E75E45">
      <w:pPr>
        <w:spacing w:line="360" w:lineRule="auto"/>
        <w:ind w:firstLine="700"/>
        <w:jc w:val="both"/>
        <w:rPr>
          <w:sz w:val="28"/>
          <w:szCs w:val="28"/>
        </w:rPr>
      </w:pPr>
      <w:r>
        <w:rPr>
          <w:color w:val="000000"/>
          <w:sz w:val="28"/>
          <w:szCs w:val="28"/>
          <w:lang w:bidi="ru-RU"/>
        </w:rPr>
        <w:t>Тарифная политика электроэнергетической отрасли будет базироваться на следующих основных принципах</w:t>
      </w:r>
      <w:r>
        <w:rPr>
          <w:rStyle w:val="13"/>
          <w:sz w:val="28"/>
          <w:szCs w:val="28"/>
        </w:rPr>
        <w:t>:</w:t>
      </w:r>
    </w:p>
    <w:p w14:paraId="3F186CDC">
      <w:pPr>
        <w:spacing w:line="360" w:lineRule="auto"/>
        <w:ind w:firstLine="700"/>
        <w:jc w:val="both"/>
        <w:rPr>
          <w:sz w:val="28"/>
          <w:szCs w:val="28"/>
        </w:rPr>
      </w:pPr>
      <w:r>
        <w:rPr>
          <w:color w:val="000000"/>
          <w:sz w:val="28"/>
          <w:szCs w:val="28"/>
          <w:lang w:bidi="ru-RU"/>
        </w:rPr>
        <w:t>- установления раздельных недискриминационных тарифов на генерацию, транспортировку и распределение, в величинах, покрывающих фактические операционные расходы, амортизацию, капитальные затраты, а также позволяющих обслуживать долги и получать прибыль для выплаты дивидендов;</w:t>
      </w:r>
    </w:p>
    <w:p w14:paraId="27150E10">
      <w:pPr>
        <w:spacing w:line="360" w:lineRule="auto"/>
        <w:ind w:firstLine="700"/>
        <w:jc w:val="both"/>
        <w:rPr>
          <w:sz w:val="28"/>
          <w:szCs w:val="28"/>
        </w:rPr>
      </w:pPr>
      <w:r>
        <w:rPr>
          <w:color w:val="000000"/>
          <w:sz w:val="28"/>
          <w:szCs w:val="28"/>
          <w:lang w:bidi="ru-RU"/>
        </w:rPr>
        <w:t>- установления долгосрочных тарифов для энергетических компаний, рассчитанный по методологии, основанной на стимулах, для повышения эффективности их деятельности и снижения уровня потерь;</w:t>
      </w:r>
    </w:p>
    <w:p w14:paraId="6DC942FE">
      <w:pPr>
        <w:spacing w:line="360" w:lineRule="auto"/>
        <w:ind w:firstLine="700"/>
        <w:jc w:val="both"/>
        <w:rPr>
          <w:sz w:val="28"/>
          <w:szCs w:val="28"/>
        </w:rPr>
      </w:pPr>
      <w:r>
        <w:rPr>
          <w:color w:val="000000"/>
          <w:sz w:val="28"/>
          <w:szCs w:val="28"/>
          <w:lang w:bidi="ru-RU"/>
        </w:rPr>
        <w:t>- сохранения единых тарифов для конечных потребителей во всех регионах республики (национальные тарифы), в величинах, покрывающих фактические затраты по покупке и поставке электрической энергии;</w:t>
      </w:r>
    </w:p>
    <w:p w14:paraId="5D1BF98A">
      <w:pPr>
        <w:spacing w:line="360" w:lineRule="auto"/>
        <w:ind w:firstLine="700"/>
        <w:jc w:val="both"/>
        <w:rPr>
          <w:sz w:val="28"/>
          <w:szCs w:val="28"/>
        </w:rPr>
      </w:pPr>
      <w:r>
        <w:rPr>
          <w:color w:val="000000"/>
          <w:sz w:val="28"/>
          <w:szCs w:val="28"/>
          <w:lang w:bidi="ru-RU"/>
        </w:rPr>
        <w:t>- внедрения с 2022 года дифференцированных тарифов на электрическую энергию для населения по времени суток, рабочим/выходным дням;</w:t>
      </w:r>
    </w:p>
    <w:p w14:paraId="1541194C">
      <w:pPr>
        <w:spacing w:line="360" w:lineRule="auto"/>
        <w:ind w:firstLine="700"/>
        <w:jc w:val="both"/>
        <w:rPr>
          <w:sz w:val="28"/>
          <w:szCs w:val="28"/>
        </w:rPr>
      </w:pPr>
      <w:r>
        <w:rPr>
          <w:color w:val="000000"/>
          <w:sz w:val="28"/>
          <w:szCs w:val="28"/>
          <w:lang w:bidi="ru-RU"/>
        </w:rPr>
        <w:t>- ввода с 2023 года порядка закупа у населения излишков электрической энергии, полученной за счет генерации с использованием собственных источников ВИЭ, по фиксированным тарифам;</w:t>
      </w:r>
    </w:p>
    <w:p w14:paraId="7D743D3E">
      <w:pPr>
        <w:spacing w:line="360" w:lineRule="auto"/>
        <w:ind w:firstLine="700"/>
        <w:jc w:val="both"/>
        <w:rPr>
          <w:sz w:val="28"/>
          <w:szCs w:val="28"/>
        </w:rPr>
      </w:pPr>
      <w:r>
        <w:rPr>
          <w:color w:val="000000"/>
          <w:sz w:val="28"/>
          <w:szCs w:val="28"/>
          <w:lang w:bidi="ru-RU"/>
        </w:rPr>
        <w:t>- утверждение тарифов Тарифной комиссией, а затем специально уполномоченным органом - Независимым Регулятором энергетического рынка, который также будет уполномочен утверждать методологию установления тарифов и другие нормативно-правовые акты, связанные с тарифным регулированием.</w:t>
      </w:r>
    </w:p>
    <w:p w14:paraId="6F5E5C0C">
      <w:pPr>
        <w:pStyle w:val="5"/>
        <w:shd w:val="clear" w:color="auto" w:fill="auto"/>
        <w:spacing w:line="360" w:lineRule="auto"/>
        <w:rPr>
          <w:sz w:val="28"/>
          <w:szCs w:val="28"/>
        </w:rPr>
      </w:pPr>
      <w:r>
        <w:rPr>
          <w:color w:val="000000"/>
          <w:sz w:val="28"/>
          <w:szCs w:val="28"/>
          <w:lang w:eastAsia="ru-RU" w:bidi="ru-RU"/>
        </w:rPr>
        <w:t>Ожидаемые результаты и количественные</w:t>
      </w:r>
      <w:r>
        <w:rPr>
          <w:color w:val="000000"/>
          <w:sz w:val="28"/>
          <w:szCs w:val="28"/>
          <w:lang w:eastAsia="ru-RU" w:bidi="ru-RU"/>
        </w:rPr>
        <w:br w:type="textWrapping"/>
      </w:r>
      <w:r>
        <w:rPr>
          <w:color w:val="000000"/>
          <w:sz w:val="28"/>
          <w:szCs w:val="28"/>
          <w:lang w:eastAsia="ru-RU" w:bidi="ru-RU"/>
        </w:rPr>
        <w:t>показатели реализации Концепции</w:t>
      </w:r>
    </w:p>
    <w:p w14:paraId="11FE2130">
      <w:pPr>
        <w:spacing w:line="360" w:lineRule="auto"/>
        <w:ind w:firstLine="700"/>
        <w:jc w:val="both"/>
        <w:rPr>
          <w:sz w:val="28"/>
          <w:szCs w:val="28"/>
        </w:rPr>
      </w:pPr>
      <w:r>
        <w:rPr>
          <w:color w:val="000000"/>
          <w:sz w:val="28"/>
          <w:szCs w:val="28"/>
          <w:lang w:bidi="ru-RU"/>
        </w:rPr>
        <w:t>В результате достижения поставленных задач к 2030 году:</w:t>
      </w:r>
    </w:p>
    <w:p w14:paraId="5D4BE668">
      <w:pPr>
        <w:spacing w:line="360" w:lineRule="auto"/>
        <w:ind w:firstLine="700"/>
        <w:jc w:val="both"/>
        <w:rPr>
          <w:sz w:val="28"/>
          <w:szCs w:val="28"/>
        </w:rPr>
      </w:pPr>
      <w:r>
        <w:rPr>
          <w:color w:val="000000"/>
          <w:sz w:val="28"/>
          <w:szCs w:val="28"/>
          <w:lang w:bidi="ru-RU"/>
        </w:rPr>
        <w:t>а) генерирующая мощность, установленная и располагаемая, с учетом вывода из эксплуатации физически устаревшего оборудования (5,9 тыс. МВт) составит 29,2 тыс. МВт, в том числе:</w:t>
      </w:r>
    </w:p>
    <w:p w14:paraId="43D317EC">
      <w:pPr>
        <w:spacing w:line="360" w:lineRule="auto"/>
        <w:ind w:firstLine="700"/>
        <w:jc w:val="both"/>
        <w:rPr>
          <w:sz w:val="28"/>
          <w:szCs w:val="28"/>
        </w:rPr>
      </w:pPr>
      <w:r>
        <w:rPr>
          <w:color w:val="000000"/>
          <w:sz w:val="28"/>
          <w:szCs w:val="28"/>
          <w:lang w:bidi="ru-RU"/>
        </w:rPr>
        <w:t>ТЭС, использующие природный газ - 13,4 тыс. МВт (45 процентов);</w:t>
      </w:r>
    </w:p>
    <w:p w14:paraId="1449810B">
      <w:pPr>
        <w:spacing w:line="360" w:lineRule="auto"/>
        <w:ind w:firstLine="700"/>
        <w:jc w:val="both"/>
        <w:rPr>
          <w:sz w:val="28"/>
          <w:szCs w:val="28"/>
        </w:rPr>
      </w:pPr>
      <w:r>
        <w:rPr>
          <w:color w:val="000000"/>
          <w:sz w:val="28"/>
          <w:szCs w:val="28"/>
          <w:lang w:bidi="ru-RU"/>
        </w:rPr>
        <w:t>ТЭС, использующие уголь - 1,7 тыс. МВт (5,9 процента);</w:t>
      </w:r>
    </w:p>
    <w:p w14:paraId="62E84156">
      <w:pPr>
        <w:spacing w:line="360" w:lineRule="auto"/>
        <w:ind w:firstLine="700"/>
        <w:jc w:val="both"/>
        <w:rPr>
          <w:sz w:val="28"/>
          <w:szCs w:val="28"/>
        </w:rPr>
      </w:pPr>
      <w:r>
        <w:rPr>
          <w:color w:val="000000"/>
          <w:sz w:val="28"/>
          <w:szCs w:val="28"/>
          <w:lang w:bidi="ru-RU"/>
        </w:rPr>
        <w:t>ГЭС - 3,8 тыс. МВт (13,1 процента);</w:t>
      </w:r>
    </w:p>
    <w:p w14:paraId="031F5EE1">
      <w:pPr>
        <w:spacing w:line="360" w:lineRule="auto"/>
        <w:ind w:firstLine="700"/>
        <w:jc w:val="both"/>
        <w:rPr>
          <w:sz w:val="28"/>
          <w:szCs w:val="28"/>
        </w:rPr>
      </w:pPr>
      <w:r>
        <w:rPr>
          <w:color w:val="000000"/>
          <w:sz w:val="28"/>
          <w:szCs w:val="28"/>
          <w:lang w:bidi="ru-RU"/>
        </w:rPr>
        <w:t>ВЭС - 3 тыс. МВт (10,4 процента);</w:t>
      </w:r>
    </w:p>
    <w:p w14:paraId="6587A106">
      <w:pPr>
        <w:spacing w:line="360" w:lineRule="auto"/>
        <w:ind w:firstLine="700"/>
        <w:jc w:val="both"/>
        <w:rPr>
          <w:sz w:val="28"/>
          <w:szCs w:val="28"/>
        </w:rPr>
      </w:pPr>
      <w:r>
        <w:rPr>
          <w:color w:val="000000"/>
          <w:sz w:val="28"/>
          <w:szCs w:val="28"/>
          <w:lang w:bidi="ru-RU"/>
        </w:rPr>
        <w:t>ФЭС - 5 тыс. МВт (17,3 процента), в том числе 1 тыс. МВт с устройствами хранения электрической энергии для аккумуляции ее в солнечные часы и использования накопленной электрической энергии во время отсутствия солнца и вечернего максимума нагрузок единой электроэнергетической системы;</w:t>
      </w:r>
    </w:p>
    <w:p w14:paraId="1F39415F">
      <w:pPr>
        <w:spacing w:line="360" w:lineRule="auto"/>
        <w:ind w:firstLine="700"/>
        <w:jc w:val="both"/>
        <w:rPr>
          <w:sz w:val="28"/>
          <w:szCs w:val="28"/>
        </w:rPr>
      </w:pPr>
      <w:r>
        <w:rPr>
          <w:color w:val="000000"/>
          <w:sz w:val="28"/>
          <w:szCs w:val="28"/>
          <w:lang w:bidi="ru-RU"/>
        </w:rPr>
        <w:t>АЭС- 2,4 тыс. МВт (8,3 процента).</w:t>
      </w:r>
    </w:p>
    <w:p w14:paraId="728D89FD">
      <w:pPr>
        <w:spacing w:line="360" w:lineRule="auto"/>
        <w:ind w:firstLine="700"/>
        <w:jc w:val="both"/>
        <w:rPr>
          <w:color w:val="000000"/>
          <w:sz w:val="28"/>
          <w:szCs w:val="28"/>
          <w:lang w:bidi="ru-RU"/>
        </w:rPr>
      </w:pPr>
      <w:r>
        <w:rPr>
          <w:color w:val="000000"/>
          <w:sz w:val="28"/>
          <w:szCs w:val="28"/>
          <w:lang w:bidi="ru-RU"/>
        </w:rPr>
        <w:t>Прирост генерирующих мощностей составит 16,4 тыс. МВт, в том числе 4,4 тыс. МВт регулирующих мощностей для покрытия пиковых нагрузок.</w:t>
      </w:r>
    </w:p>
    <w:p w14:paraId="3AF39CC1">
      <w:pPr>
        <w:pStyle w:val="8"/>
        <w:shd w:val="clear" w:color="auto" w:fill="auto"/>
        <w:spacing w:before="0" w:line="360" w:lineRule="auto"/>
        <w:ind w:firstLine="0"/>
        <w:jc w:val="center"/>
        <w:rPr>
          <w:color w:val="000000"/>
          <w:sz w:val="28"/>
          <w:szCs w:val="28"/>
          <w:lang w:eastAsia="ru-RU" w:bidi="ru-RU"/>
        </w:rPr>
      </w:pPr>
      <w:r>
        <w:rPr>
          <w:lang w:eastAsia="ru-RU"/>
        </w:rPr>
        <w:drawing>
          <wp:inline distT="0" distB="0" distL="0" distR="0">
            <wp:extent cx="5939790" cy="2678430"/>
            <wp:effectExtent l="0" t="0" r="3810" b="381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114"/>
                    <pic:cNvPicPr>
                      <a:picLocks noChangeAspect="1"/>
                    </pic:cNvPicPr>
                  </pic:nvPicPr>
                  <pic:blipFill>
                    <a:blip r:embed="rId19"/>
                    <a:stretch>
                      <a:fillRect/>
                    </a:stretch>
                  </pic:blipFill>
                  <pic:spPr>
                    <a:xfrm>
                      <a:off x="0" y="0"/>
                      <a:ext cx="5954306" cy="2685135"/>
                    </a:xfrm>
                    <a:prstGeom prst="rect">
                      <a:avLst/>
                    </a:prstGeom>
                  </pic:spPr>
                </pic:pic>
              </a:graphicData>
            </a:graphic>
          </wp:inline>
        </w:drawing>
      </w:r>
    </w:p>
    <w:p w14:paraId="2ED17D0B">
      <w:pPr>
        <w:pStyle w:val="8"/>
        <w:shd w:val="clear" w:color="auto" w:fill="auto"/>
        <w:spacing w:before="0" w:line="360" w:lineRule="auto"/>
        <w:ind w:firstLine="0"/>
        <w:jc w:val="center"/>
        <w:rPr>
          <w:b w:val="0"/>
          <w:sz w:val="28"/>
          <w:szCs w:val="28"/>
        </w:rPr>
      </w:pPr>
      <w:r>
        <w:rPr>
          <w:b w:val="0"/>
          <w:color w:val="000000"/>
          <w:sz w:val="28"/>
          <w:szCs w:val="28"/>
          <w:lang w:eastAsia="ru-RU" w:bidi="ru-RU"/>
        </w:rPr>
        <w:t>Рисунок 1.12 - Изменение установленной мощности 2019-2030 гг., МВт</w:t>
      </w:r>
    </w:p>
    <w:p w14:paraId="35B6DC2C">
      <w:pPr>
        <w:spacing w:line="360" w:lineRule="auto"/>
        <w:ind w:firstLine="700"/>
        <w:jc w:val="both"/>
        <w:rPr>
          <w:color w:val="000000"/>
          <w:sz w:val="28"/>
          <w:szCs w:val="28"/>
          <w:lang w:bidi="ru-RU"/>
        </w:rPr>
      </w:pPr>
    </w:p>
    <w:p w14:paraId="43296145">
      <w:pPr>
        <w:spacing w:line="360" w:lineRule="auto"/>
        <w:ind w:firstLine="700"/>
        <w:jc w:val="both"/>
        <w:rPr>
          <w:sz w:val="28"/>
          <w:szCs w:val="28"/>
        </w:rPr>
      </w:pPr>
      <w:r>
        <w:rPr>
          <w:color w:val="000000"/>
          <w:sz w:val="28"/>
          <w:szCs w:val="28"/>
          <w:lang w:bidi="ru-RU"/>
        </w:rPr>
        <w:t>б) объемы выработки электрической энергии достигнут 120,8 млрдкВт.ч, в том числе:</w:t>
      </w:r>
    </w:p>
    <w:p w14:paraId="25857361">
      <w:pPr>
        <w:spacing w:line="360" w:lineRule="auto"/>
        <w:ind w:firstLine="700"/>
        <w:jc w:val="both"/>
        <w:rPr>
          <w:sz w:val="28"/>
          <w:szCs w:val="28"/>
        </w:rPr>
      </w:pPr>
      <w:r>
        <w:rPr>
          <w:color w:val="000000"/>
          <w:sz w:val="28"/>
          <w:szCs w:val="28"/>
          <w:lang w:bidi="ru-RU"/>
        </w:rPr>
        <w:t>ТЭС - 70,7 млрд. кВт.ч (58,5 процента);</w:t>
      </w:r>
    </w:p>
    <w:p w14:paraId="0BA80584">
      <w:pPr>
        <w:spacing w:line="360" w:lineRule="auto"/>
        <w:ind w:firstLine="700"/>
        <w:jc w:val="both"/>
        <w:rPr>
          <w:sz w:val="28"/>
          <w:szCs w:val="28"/>
        </w:rPr>
      </w:pPr>
      <w:r>
        <w:rPr>
          <w:color w:val="000000"/>
          <w:sz w:val="28"/>
          <w:szCs w:val="28"/>
          <w:lang w:bidi="ru-RU"/>
        </w:rPr>
        <w:t>ГЭС - 13,1 млрд. кВт.ч (10,8 процента);</w:t>
      </w:r>
    </w:p>
    <w:p w14:paraId="47E8520C">
      <w:pPr>
        <w:spacing w:line="360" w:lineRule="auto"/>
        <w:ind w:firstLine="700"/>
        <w:jc w:val="both"/>
        <w:rPr>
          <w:sz w:val="28"/>
          <w:szCs w:val="28"/>
        </w:rPr>
      </w:pPr>
      <w:r>
        <w:rPr>
          <w:color w:val="000000"/>
          <w:sz w:val="28"/>
          <w:szCs w:val="28"/>
          <w:lang w:bidi="ru-RU"/>
        </w:rPr>
        <w:t>ФЭС - 9,9 млрд. кВт.ч (8,2 процента);</w:t>
      </w:r>
    </w:p>
    <w:p w14:paraId="36A07FEF">
      <w:pPr>
        <w:spacing w:line="360" w:lineRule="auto"/>
        <w:ind w:firstLine="700"/>
        <w:jc w:val="both"/>
        <w:rPr>
          <w:sz w:val="28"/>
          <w:szCs w:val="28"/>
        </w:rPr>
      </w:pPr>
      <w:r>
        <w:rPr>
          <w:color w:val="000000"/>
          <w:sz w:val="28"/>
          <w:szCs w:val="28"/>
          <w:lang w:bidi="ru-RU"/>
        </w:rPr>
        <w:t>ВЭС - 8,6 млрд. кВт.ч (7,1 процента);</w:t>
      </w:r>
    </w:p>
    <w:p w14:paraId="4658CB0A">
      <w:pPr>
        <w:spacing w:line="360" w:lineRule="auto"/>
        <w:ind w:firstLine="700"/>
        <w:jc w:val="both"/>
        <w:rPr>
          <w:color w:val="000000"/>
          <w:sz w:val="28"/>
          <w:szCs w:val="28"/>
          <w:lang w:bidi="ru-RU"/>
        </w:rPr>
      </w:pPr>
      <w:r>
        <w:rPr>
          <w:color w:val="000000"/>
          <w:sz w:val="28"/>
          <w:szCs w:val="28"/>
          <w:lang w:bidi="ru-RU"/>
        </w:rPr>
        <w:t xml:space="preserve">АЭС - 18,0 млрд. кВт.ч (14,9 процента); </w:t>
      </w:r>
    </w:p>
    <w:p w14:paraId="577228F4">
      <w:pPr>
        <w:spacing w:line="360" w:lineRule="auto"/>
        <w:ind w:firstLine="700"/>
        <w:jc w:val="both"/>
        <w:rPr>
          <w:sz w:val="28"/>
          <w:szCs w:val="28"/>
        </w:rPr>
      </w:pPr>
      <w:r>
        <w:rPr>
          <w:color w:val="000000"/>
          <w:sz w:val="28"/>
          <w:szCs w:val="28"/>
          <w:lang w:bidi="ru-RU"/>
        </w:rPr>
        <w:t>блок-станции - 0,6 млрд. кВт.ч (0,5 процента);</w:t>
      </w:r>
      <w:r>
        <w:rPr>
          <w:sz w:val="28"/>
          <w:szCs w:val="28"/>
        </w:rPr>
        <w:br w:type="page"/>
      </w:r>
    </w:p>
    <w:p w14:paraId="519A0F2D">
      <w:pPr>
        <w:pStyle w:val="8"/>
        <w:shd w:val="clear" w:color="auto" w:fill="auto"/>
        <w:spacing w:before="0" w:line="360" w:lineRule="auto"/>
        <w:ind w:firstLine="700"/>
        <w:jc w:val="both"/>
        <w:rPr>
          <w:sz w:val="28"/>
          <w:szCs w:val="28"/>
        </w:rPr>
      </w:pPr>
    </w:p>
    <w:p w14:paraId="1E4518D3">
      <w:pPr>
        <w:pStyle w:val="8"/>
        <w:shd w:val="clear" w:color="auto" w:fill="auto"/>
        <w:spacing w:before="0" w:line="360" w:lineRule="auto"/>
        <w:ind w:firstLine="0"/>
        <w:jc w:val="center"/>
        <w:rPr>
          <w:sz w:val="28"/>
          <w:szCs w:val="28"/>
        </w:rPr>
      </w:pPr>
      <w:r>
        <w:rPr>
          <w:lang w:eastAsia="ru-RU"/>
        </w:rPr>
        <w:drawing>
          <wp:inline distT="0" distB="0" distL="0" distR="0">
            <wp:extent cx="5940425" cy="6217920"/>
            <wp:effectExtent l="0" t="0" r="317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15"/>
                    <pic:cNvPicPr>
                      <a:picLocks noChangeAspect="1"/>
                    </pic:cNvPicPr>
                  </pic:nvPicPr>
                  <pic:blipFill>
                    <a:blip r:embed="rId20"/>
                    <a:stretch>
                      <a:fillRect/>
                    </a:stretch>
                  </pic:blipFill>
                  <pic:spPr>
                    <a:xfrm>
                      <a:off x="0" y="0"/>
                      <a:ext cx="5940425" cy="6217920"/>
                    </a:xfrm>
                    <a:prstGeom prst="rect">
                      <a:avLst/>
                    </a:prstGeom>
                  </pic:spPr>
                </pic:pic>
              </a:graphicData>
            </a:graphic>
          </wp:inline>
        </w:drawing>
      </w:r>
    </w:p>
    <w:p w14:paraId="5BD62A92">
      <w:pPr>
        <w:pStyle w:val="8"/>
        <w:shd w:val="clear" w:color="auto" w:fill="auto"/>
        <w:spacing w:before="0" w:line="360" w:lineRule="auto"/>
        <w:ind w:firstLine="0"/>
        <w:jc w:val="center"/>
        <w:rPr>
          <w:b w:val="0"/>
          <w:sz w:val="28"/>
          <w:szCs w:val="28"/>
        </w:rPr>
      </w:pPr>
      <w:r>
        <w:rPr>
          <w:b w:val="0"/>
          <w:sz w:val="28"/>
          <w:szCs w:val="28"/>
        </w:rPr>
        <w:t>Рисунок 1.13 - Диаграмма изменении вырабатываемой электрической энергии в 2019 и 2030 гг., млрд кВт.ч</w:t>
      </w:r>
    </w:p>
    <w:p w14:paraId="422C0DAA">
      <w:pPr>
        <w:pStyle w:val="8"/>
        <w:shd w:val="clear" w:color="auto" w:fill="auto"/>
        <w:spacing w:before="0" w:line="360" w:lineRule="auto"/>
        <w:ind w:firstLine="700"/>
        <w:jc w:val="both"/>
        <w:rPr>
          <w:b w:val="0"/>
          <w:sz w:val="28"/>
          <w:szCs w:val="28"/>
        </w:rPr>
      </w:pPr>
    </w:p>
    <w:p w14:paraId="2F14F871">
      <w:pPr>
        <w:pStyle w:val="8"/>
        <w:shd w:val="clear" w:color="auto" w:fill="auto"/>
        <w:spacing w:before="0" w:line="360" w:lineRule="auto"/>
        <w:ind w:firstLine="700"/>
        <w:jc w:val="both"/>
        <w:rPr>
          <w:b w:val="0"/>
          <w:sz w:val="28"/>
          <w:szCs w:val="28"/>
        </w:rPr>
      </w:pPr>
      <w:r>
        <w:rPr>
          <w:b w:val="0"/>
          <w:sz w:val="28"/>
          <w:szCs w:val="28"/>
        </w:rPr>
        <w:t>в) снизится расход природного газа с 16,5 млрд куб.м до 12,1 млрд.куб.м, при этом ежегодный объем сжигания угля возрастет с 4,1 млн.тонн до 8,5 млн.тонн.</w:t>
      </w:r>
    </w:p>
    <w:p w14:paraId="4A58BC0B">
      <w:pPr>
        <w:pStyle w:val="14"/>
        <w:shd w:val="clear" w:color="auto" w:fill="auto"/>
        <w:spacing w:after="0" w:line="360" w:lineRule="auto"/>
        <w:rPr>
          <w:b w:val="0"/>
          <w:color w:val="000000"/>
          <w:sz w:val="28"/>
          <w:szCs w:val="28"/>
          <w:lang w:eastAsia="ru-RU" w:bidi="ru-RU"/>
        </w:rPr>
      </w:pPr>
      <w:r>
        <w:rPr>
          <w:b w:val="0"/>
          <w:color w:val="000000"/>
          <w:sz w:val="28"/>
          <w:szCs w:val="28"/>
          <w:lang w:eastAsia="ru-RU" w:bidi="ru-RU"/>
        </w:rPr>
        <w:t>Расход топлива при выработке электрической энергии</w:t>
      </w:r>
    </w:p>
    <w:p w14:paraId="4932D859">
      <w:pPr>
        <w:pStyle w:val="14"/>
        <w:shd w:val="clear" w:color="auto" w:fill="auto"/>
        <w:spacing w:after="0" w:line="360" w:lineRule="auto"/>
        <w:ind w:firstLine="700"/>
        <w:jc w:val="right"/>
        <w:rPr>
          <w:b w:val="0"/>
          <w:sz w:val="28"/>
          <w:szCs w:val="28"/>
        </w:rPr>
      </w:pPr>
      <w:r>
        <w:rPr>
          <w:b w:val="0"/>
          <w:color w:val="000000"/>
          <w:sz w:val="28"/>
          <w:szCs w:val="28"/>
          <w:lang w:eastAsia="ru-RU" w:bidi="ru-RU"/>
        </w:rPr>
        <w:t>Таблица 1.2.</w:t>
      </w:r>
    </w:p>
    <w:tbl>
      <w:tblPr>
        <w:tblStyle w:val="3"/>
        <w:tblW w:w="0" w:type="auto"/>
        <w:jc w:val="center"/>
        <w:tblLayout w:type="fixed"/>
        <w:tblCellMar>
          <w:top w:w="0" w:type="dxa"/>
          <w:left w:w="10" w:type="dxa"/>
          <w:bottom w:w="0" w:type="dxa"/>
          <w:right w:w="10" w:type="dxa"/>
        </w:tblCellMar>
      </w:tblPr>
      <w:tblGrid>
        <w:gridCol w:w="758"/>
        <w:gridCol w:w="3211"/>
        <w:gridCol w:w="1810"/>
        <w:gridCol w:w="1930"/>
        <w:gridCol w:w="1934"/>
      </w:tblGrid>
      <w:tr w14:paraId="5390A23C">
        <w:tblPrEx>
          <w:tblCellMar>
            <w:top w:w="0" w:type="dxa"/>
            <w:left w:w="10" w:type="dxa"/>
            <w:bottom w:w="0" w:type="dxa"/>
            <w:right w:w="10" w:type="dxa"/>
          </w:tblCellMar>
        </w:tblPrEx>
        <w:trPr>
          <w:trHeight w:val="418" w:hRule="exact"/>
          <w:jc w:val="center"/>
        </w:trPr>
        <w:tc>
          <w:tcPr>
            <w:tcW w:w="758" w:type="dxa"/>
            <w:tcBorders>
              <w:top w:val="single" w:color="auto" w:sz="4" w:space="0"/>
              <w:left w:val="single" w:color="auto" w:sz="4" w:space="0"/>
            </w:tcBorders>
            <w:shd w:val="clear" w:color="auto" w:fill="FFFFFF"/>
            <w:vAlign w:val="bottom"/>
          </w:tcPr>
          <w:p w14:paraId="3EA2ACD1">
            <w:pPr>
              <w:framePr w:w="9643" w:h="1828" w:hRule="exact" w:wrap="notBeside" w:vAnchor="text" w:hAnchor="text" w:xAlign="center" w:y="2"/>
              <w:spacing w:line="360" w:lineRule="auto"/>
              <w:jc w:val="both"/>
              <w:rPr>
                <w:sz w:val="28"/>
                <w:szCs w:val="28"/>
              </w:rPr>
            </w:pPr>
            <w:r>
              <w:rPr>
                <w:rStyle w:val="13"/>
                <w:sz w:val="28"/>
                <w:szCs w:val="28"/>
              </w:rPr>
              <w:t>№</w:t>
            </w:r>
          </w:p>
        </w:tc>
        <w:tc>
          <w:tcPr>
            <w:tcW w:w="3211" w:type="dxa"/>
            <w:tcBorders>
              <w:top w:val="single" w:color="auto" w:sz="4" w:space="0"/>
              <w:left w:val="single" w:color="auto" w:sz="4" w:space="0"/>
            </w:tcBorders>
            <w:shd w:val="clear" w:color="auto" w:fill="FFFFFF"/>
            <w:vAlign w:val="bottom"/>
          </w:tcPr>
          <w:p w14:paraId="01CCA9A4">
            <w:pPr>
              <w:framePr w:w="9643" w:h="1828" w:hRule="exact" w:wrap="notBeside" w:vAnchor="text" w:hAnchor="text" w:xAlign="center" w:y="2"/>
              <w:spacing w:line="360" w:lineRule="auto"/>
              <w:jc w:val="both"/>
              <w:rPr>
                <w:sz w:val="28"/>
                <w:szCs w:val="28"/>
              </w:rPr>
            </w:pPr>
            <w:r>
              <w:rPr>
                <w:rStyle w:val="13"/>
                <w:sz w:val="28"/>
                <w:szCs w:val="28"/>
              </w:rPr>
              <w:t>Наименование топлива</w:t>
            </w:r>
          </w:p>
        </w:tc>
        <w:tc>
          <w:tcPr>
            <w:tcW w:w="1810" w:type="dxa"/>
            <w:tcBorders>
              <w:top w:val="single" w:color="auto" w:sz="4" w:space="0"/>
              <w:left w:val="single" w:color="auto" w:sz="4" w:space="0"/>
            </w:tcBorders>
            <w:shd w:val="clear" w:color="auto" w:fill="FFFFFF"/>
            <w:vAlign w:val="bottom"/>
          </w:tcPr>
          <w:p w14:paraId="2394B8A5">
            <w:pPr>
              <w:framePr w:w="9643" w:h="1828" w:hRule="exact" w:wrap="notBeside" w:vAnchor="text" w:hAnchor="text" w:xAlign="center" w:y="2"/>
              <w:spacing w:line="360" w:lineRule="auto"/>
              <w:ind w:firstLine="700"/>
              <w:jc w:val="both"/>
              <w:rPr>
                <w:sz w:val="28"/>
                <w:szCs w:val="28"/>
              </w:rPr>
            </w:pPr>
            <w:r>
              <w:rPr>
                <w:rStyle w:val="13"/>
                <w:sz w:val="28"/>
                <w:szCs w:val="28"/>
              </w:rPr>
              <w:t>2019 г</w:t>
            </w:r>
          </w:p>
        </w:tc>
        <w:tc>
          <w:tcPr>
            <w:tcW w:w="1930" w:type="dxa"/>
            <w:tcBorders>
              <w:top w:val="single" w:color="auto" w:sz="4" w:space="0"/>
              <w:left w:val="single" w:color="auto" w:sz="4" w:space="0"/>
            </w:tcBorders>
            <w:shd w:val="clear" w:color="auto" w:fill="FFFFFF"/>
            <w:vAlign w:val="bottom"/>
          </w:tcPr>
          <w:p w14:paraId="1B7C5109">
            <w:pPr>
              <w:framePr w:w="9643" w:h="1828" w:hRule="exact" w:wrap="notBeside" w:vAnchor="text" w:hAnchor="text" w:xAlign="center" w:y="2"/>
              <w:spacing w:line="360" w:lineRule="auto"/>
              <w:ind w:firstLine="700"/>
              <w:jc w:val="both"/>
              <w:rPr>
                <w:sz w:val="28"/>
                <w:szCs w:val="28"/>
              </w:rPr>
            </w:pPr>
            <w:r>
              <w:rPr>
                <w:rStyle w:val="13"/>
                <w:sz w:val="28"/>
                <w:szCs w:val="28"/>
              </w:rPr>
              <w:t>2025 г</w:t>
            </w:r>
          </w:p>
        </w:tc>
        <w:tc>
          <w:tcPr>
            <w:tcW w:w="1934" w:type="dxa"/>
            <w:tcBorders>
              <w:top w:val="single" w:color="auto" w:sz="4" w:space="0"/>
              <w:left w:val="single" w:color="auto" w:sz="4" w:space="0"/>
              <w:right w:val="single" w:color="auto" w:sz="4" w:space="0"/>
            </w:tcBorders>
            <w:shd w:val="clear" w:color="auto" w:fill="FFFFFF"/>
            <w:vAlign w:val="bottom"/>
          </w:tcPr>
          <w:p w14:paraId="0B3D8E81">
            <w:pPr>
              <w:framePr w:w="9643" w:h="1828" w:hRule="exact" w:wrap="notBeside" w:vAnchor="text" w:hAnchor="text" w:xAlign="center" w:y="2"/>
              <w:spacing w:line="360" w:lineRule="auto"/>
              <w:ind w:firstLine="700"/>
              <w:jc w:val="both"/>
              <w:rPr>
                <w:sz w:val="28"/>
                <w:szCs w:val="28"/>
              </w:rPr>
            </w:pPr>
            <w:r>
              <w:rPr>
                <w:rStyle w:val="13"/>
                <w:sz w:val="28"/>
                <w:szCs w:val="28"/>
              </w:rPr>
              <w:t>2030 г</w:t>
            </w:r>
          </w:p>
        </w:tc>
      </w:tr>
      <w:tr w14:paraId="5E95F0DE">
        <w:tblPrEx>
          <w:tblCellMar>
            <w:top w:w="0" w:type="dxa"/>
            <w:left w:w="10" w:type="dxa"/>
            <w:bottom w:w="0" w:type="dxa"/>
            <w:right w:w="10" w:type="dxa"/>
          </w:tblCellMar>
        </w:tblPrEx>
        <w:trPr>
          <w:trHeight w:val="413" w:hRule="exact"/>
          <w:jc w:val="center"/>
        </w:trPr>
        <w:tc>
          <w:tcPr>
            <w:tcW w:w="758" w:type="dxa"/>
            <w:tcBorders>
              <w:top w:val="single" w:color="auto" w:sz="4" w:space="0"/>
              <w:left w:val="single" w:color="auto" w:sz="4" w:space="0"/>
            </w:tcBorders>
            <w:shd w:val="clear" w:color="auto" w:fill="FFFFFF"/>
            <w:vAlign w:val="bottom"/>
          </w:tcPr>
          <w:p w14:paraId="6EACBA8D">
            <w:pPr>
              <w:framePr w:w="9643" w:h="1828" w:hRule="exact" w:wrap="notBeside" w:vAnchor="text" w:hAnchor="text" w:xAlign="center" w:y="2"/>
              <w:spacing w:line="360" w:lineRule="auto"/>
              <w:jc w:val="both"/>
              <w:rPr>
                <w:sz w:val="28"/>
                <w:szCs w:val="28"/>
              </w:rPr>
            </w:pPr>
            <w:r>
              <w:rPr>
                <w:rStyle w:val="13"/>
                <w:sz w:val="28"/>
                <w:szCs w:val="28"/>
              </w:rPr>
              <w:t>1</w:t>
            </w:r>
          </w:p>
        </w:tc>
        <w:tc>
          <w:tcPr>
            <w:tcW w:w="3211" w:type="dxa"/>
            <w:tcBorders>
              <w:top w:val="single" w:color="auto" w:sz="4" w:space="0"/>
              <w:left w:val="single" w:color="auto" w:sz="4" w:space="0"/>
            </w:tcBorders>
            <w:shd w:val="clear" w:color="auto" w:fill="FFFFFF"/>
            <w:vAlign w:val="bottom"/>
          </w:tcPr>
          <w:p w14:paraId="737D9C7E">
            <w:pPr>
              <w:framePr w:w="9643" w:h="1828" w:hRule="exact" w:wrap="notBeside" w:vAnchor="text" w:hAnchor="text" w:xAlign="center" w:y="2"/>
              <w:spacing w:line="360" w:lineRule="auto"/>
              <w:jc w:val="both"/>
              <w:rPr>
                <w:sz w:val="28"/>
                <w:szCs w:val="28"/>
              </w:rPr>
            </w:pPr>
            <w:r>
              <w:rPr>
                <w:rStyle w:val="15"/>
                <w:sz w:val="28"/>
                <w:szCs w:val="28"/>
              </w:rPr>
              <w:t>Природный газ (млн. м</w:t>
            </w:r>
            <w:r>
              <w:rPr>
                <w:rStyle w:val="15"/>
                <w:sz w:val="28"/>
                <w:szCs w:val="28"/>
                <w:vertAlign w:val="superscript"/>
              </w:rPr>
              <w:t>3</w:t>
            </w:r>
            <w:r>
              <w:rPr>
                <w:rStyle w:val="15"/>
                <w:sz w:val="28"/>
                <w:szCs w:val="28"/>
              </w:rPr>
              <w:t>)</w:t>
            </w:r>
          </w:p>
        </w:tc>
        <w:tc>
          <w:tcPr>
            <w:tcW w:w="1810" w:type="dxa"/>
            <w:tcBorders>
              <w:top w:val="single" w:color="auto" w:sz="4" w:space="0"/>
              <w:left w:val="single" w:color="auto" w:sz="4" w:space="0"/>
            </w:tcBorders>
            <w:shd w:val="clear" w:color="auto" w:fill="FFFFFF"/>
            <w:vAlign w:val="bottom"/>
          </w:tcPr>
          <w:p w14:paraId="34E995EB">
            <w:pPr>
              <w:framePr w:w="9643" w:h="1828" w:hRule="exact" w:wrap="notBeside" w:vAnchor="text" w:hAnchor="text" w:xAlign="center" w:y="2"/>
              <w:spacing w:line="360" w:lineRule="auto"/>
              <w:ind w:firstLine="700"/>
              <w:jc w:val="both"/>
              <w:rPr>
                <w:sz w:val="28"/>
                <w:szCs w:val="28"/>
              </w:rPr>
            </w:pPr>
            <w:r>
              <w:rPr>
                <w:rStyle w:val="15"/>
                <w:sz w:val="28"/>
                <w:szCs w:val="28"/>
              </w:rPr>
              <w:t>15,8</w:t>
            </w:r>
          </w:p>
        </w:tc>
        <w:tc>
          <w:tcPr>
            <w:tcW w:w="1930" w:type="dxa"/>
            <w:tcBorders>
              <w:top w:val="single" w:color="auto" w:sz="4" w:space="0"/>
              <w:left w:val="single" w:color="auto" w:sz="4" w:space="0"/>
            </w:tcBorders>
            <w:shd w:val="clear" w:color="auto" w:fill="FFFFFF"/>
            <w:vAlign w:val="bottom"/>
          </w:tcPr>
          <w:p w14:paraId="002933DD">
            <w:pPr>
              <w:framePr w:w="9643" w:h="1828" w:hRule="exact" w:wrap="notBeside" w:vAnchor="text" w:hAnchor="text" w:xAlign="center" w:y="2"/>
              <w:spacing w:line="360" w:lineRule="auto"/>
              <w:ind w:firstLine="700"/>
              <w:jc w:val="both"/>
              <w:rPr>
                <w:sz w:val="28"/>
                <w:szCs w:val="28"/>
              </w:rPr>
            </w:pPr>
            <w:r>
              <w:rPr>
                <w:rStyle w:val="15"/>
                <w:sz w:val="28"/>
                <w:szCs w:val="28"/>
              </w:rPr>
              <w:t>12,7</w:t>
            </w:r>
          </w:p>
        </w:tc>
        <w:tc>
          <w:tcPr>
            <w:tcW w:w="1934" w:type="dxa"/>
            <w:tcBorders>
              <w:top w:val="single" w:color="auto" w:sz="4" w:space="0"/>
              <w:left w:val="single" w:color="auto" w:sz="4" w:space="0"/>
              <w:right w:val="single" w:color="auto" w:sz="4" w:space="0"/>
            </w:tcBorders>
            <w:shd w:val="clear" w:color="auto" w:fill="FFFFFF"/>
            <w:vAlign w:val="bottom"/>
          </w:tcPr>
          <w:p w14:paraId="47B75072">
            <w:pPr>
              <w:framePr w:w="9643" w:h="1828" w:hRule="exact" w:wrap="notBeside" w:vAnchor="text" w:hAnchor="text" w:xAlign="center" w:y="2"/>
              <w:spacing w:line="360" w:lineRule="auto"/>
              <w:ind w:firstLine="700"/>
              <w:jc w:val="both"/>
              <w:rPr>
                <w:sz w:val="28"/>
                <w:szCs w:val="28"/>
              </w:rPr>
            </w:pPr>
            <w:r>
              <w:rPr>
                <w:rStyle w:val="15"/>
                <w:sz w:val="28"/>
                <w:szCs w:val="28"/>
              </w:rPr>
              <w:t>12,1</w:t>
            </w:r>
          </w:p>
        </w:tc>
      </w:tr>
      <w:tr w14:paraId="2DC4D5FA">
        <w:tblPrEx>
          <w:tblCellMar>
            <w:top w:w="0" w:type="dxa"/>
            <w:left w:w="10" w:type="dxa"/>
            <w:bottom w:w="0" w:type="dxa"/>
            <w:right w:w="10" w:type="dxa"/>
          </w:tblCellMar>
        </w:tblPrEx>
        <w:trPr>
          <w:trHeight w:val="413" w:hRule="exact"/>
          <w:jc w:val="center"/>
        </w:trPr>
        <w:tc>
          <w:tcPr>
            <w:tcW w:w="758" w:type="dxa"/>
            <w:tcBorders>
              <w:top w:val="single" w:color="auto" w:sz="4" w:space="0"/>
              <w:left w:val="single" w:color="auto" w:sz="4" w:space="0"/>
            </w:tcBorders>
            <w:shd w:val="clear" w:color="auto" w:fill="FFFFFF"/>
            <w:vAlign w:val="bottom"/>
          </w:tcPr>
          <w:p w14:paraId="39465981">
            <w:pPr>
              <w:framePr w:w="9643" w:h="1828" w:hRule="exact" w:wrap="notBeside" w:vAnchor="text" w:hAnchor="text" w:xAlign="center" w:y="2"/>
              <w:spacing w:line="360" w:lineRule="auto"/>
              <w:jc w:val="both"/>
              <w:rPr>
                <w:sz w:val="28"/>
                <w:szCs w:val="28"/>
              </w:rPr>
            </w:pPr>
            <w:r>
              <w:rPr>
                <w:rStyle w:val="13"/>
                <w:sz w:val="28"/>
                <w:szCs w:val="28"/>
              </w:rPr>
              <w:t>2</w:t>
            </w:r>
          </w:p>
        </w:tc>
        <w:tc>
          <w:tcPr>
            <w:tcW w:w="3211" w:type="dxa"/>
            <w:tcBorders>
              <w:top w:val="single" w:color="auto" w:sz="4" w:space="0"/>
              <w:left w:val="single" w:color="auto" w:sz="4" w:space="0"/>
            </w:tcBorders>
            <w:shd w:val="clear" w:color="auto" w:fill="FFFFFF"/>
            <w:vAlign w:val="bottom"/>
          </w:tcPr>
          <w:p w14:paraId="5AE47012">
            <w:pPr>
              <w:framePr w:w="9643" w:h="1828" w:hRule="exact" w:wrap="notBeside" w:vAnchor="text" w:hAnchor="text" w:xAlign="center" w:y="2"/>
              <w:spacing w:line="360" w:lineRule="auto"/>
              <w:jc w:val="both"/>
              <w:rPr>
                <w:sz w:val="28"/>
                <w:szCs w:val="28"/>
              </w:rPr>
            </w:pPr>
            <w:r>
              <w:rPr>
                <w:rStyle w:val="15"/>
                <w:sz w:val="28"/>
                <w:szCs w:val="28"/>
              </w:rPr>
              <w:t>Уголь (млн. тонн)</w:t>
            </w:r>
          </w:p>
        </w:tc>
        <w:tc>
          <w:tcPr>
            <w:tcW w:w="1810" w:type="dxa"/>
            <w:tcBorders>
              <w:top w:val="single" w:color="auto" w:sz="4" w:space="0"/>
              <w:left w:val="single" w:color="auto" w:sz="4" w:space="0"/>
            </w:tcBorders>
            <w:shd w:val="clear" w:color="auto" w:fill="FFFFFF"/>
            <w:vAlign w:val="bottom"/>
          </w:tcPr>
          <w:p w14:paraId="08AC43F3">
            <w:pPr>
              <w:framePr w:w="9643" w:h="1828" w:hRule="exact" w:wrap="notBeside" w:vAnchor="text" w:hAnchor="text" w:xAlign="center" w:y="2"/>
              <w:spacing w:line="360" w:lineRule="auto"/>
              <w:ind w:firstLine="700"/>
              <w:jc w:val="both"/>
              <w:rPr>
                <w:sz w:val="28"/>
                <w:szCs w:val="28"/>
              </w:rPr>
            </w:pPr>
            <w:r>
              <w:rPr>
                <w:rStyle w:val="15"/>
                <w:sz w:val="28"/>
                <w:szCs w:val="28"/>
              </w:rPr>
              <w:t>3,6</w:t>
            </w:r>
          </w:p>
        </w:tc>
        <w:tc>
          <w:tcPr>
            <w:tcW w:w="1930" w:type="dxa"/>
            <w:tcBorders>
              <w:top w:val="single" w:color="auto" w:sz="4" w:space="0"/>
              <w:left w:val="single" w:color="auto" w:sz="4" w:space="0"/>
            </w:tcBorders>
            <w:shd w:val="clear" w:color="auto" w:fill="FFFFFF"/>
            <w:vAlign w:val="bottom"/>
          </w:tcPr>
          <w:p w14:paraId="53B779D9">
            <w:pPr>
              <w:framePr w:w="9643" w:h="1828" w:hRule="exact" w:wrap="notBeside" w:vAnchor="text" w:hAnchor="text" w:xAlign="center" w:y="2"/>
              <w:spacing w:line="360" w:lineRule="auto"/>
              <w:ind w:firstLine="700"/>
              <w:jc w:val="both"/>
              <w:rPr>
                <w:sz w:val="28"/>
                <w:szCs w:val="28"/>
              </w:rPr>
            </w:pPr>
            <w:r>
              <w:rPr>
                <w:rStyle w:val="15"/>
                <w:sz w:val="28"/>
                <w:szCs w:val="28"/>
              </w:rPr>
              <w:t>8,5</w:t>
            </w:r>
          </w:p>
        </w:tc>
        <w:tc>
          <w:tcPr>
            <w:tcW w:w="1934" w:type="dxa"/>
            <w:tcBorders>
              <w:top w:val="single" w:color="auto" w:sz="4" w:space="0"/>
              <w:left w:val="single" w:color="auto" w:sz="4" w:space="0"/>
              <w:right w:val="single" w:color="auto" w:sz="4" w:space="0"/>
            </w:tcBorders>
            <w:shd w:val="clear" w:color="auto" w:fill="FFFFFF"/>
            <w:vAlign w:val="bottom"/>
          </w:tcPr>
          <w:p w14:paraId="40CA58FE">
            <w:pPr>
              <w:framePr w:w="9643" w:h="1828" w:hRule="exact" w:wrap="notBeside" w:vAnchor="text" w:hAnchor="text" w:xAlign="center" w:y="2"/>
              <w:spacing w:line="360" w:lineRule="auto"/>
              <w:ind w:firstLine="700"/>
              <w:jc w:val="both"/>
              <w:rPr>
                <w:sz w:val="28"/>
                <w:szCs w:val="28"/>
              </w:rPr>
            </w:pPr>
            <w:r>
              <w:rPr>
                <w:rStyle w:val="15"/>
                <w:sz w:val="28"/>
                <w:szCs w:val="28"/>
              </w:rPr>
              <w:t>8,5</w:t>
            </w:r>
          </w:p>
        </w:tc>
      </w:tr>
      <w:tr w14:paraId="51006442">
        <w:tblPrEx>
          <w:tblCellMar>
            <w:top w:w="0" w:type="dxa"/>
            <w:left w:w="10" w:type="dxa"/>
            <w:bottom w:w="0" w:type="dxa"/>
            <w:right w:w="10" w:type="dxa"/>
          </w:tblCellMar>
        </w:tblPrEx>
        <w:trPr>
          <w:trHeight w:val="422" w:hRule="exact"/>
          <w:jc w:val="center"/>
        </w:trPr>
        <w:tc>
          <w:tcPr>
            <w:tcW w:w="758" w:type="dxa"/>
            <w:tcBorders>
              <w:top w:val="single" w:color="auto" w:sz="4" w:space="0"/>
              <w:left w:val="single" w:color="auto" w:sz="4" w:space="0"/>
              <w:bottom w:val="single" w:color="auto" w:sz="4" w:space="0"/>
            </w:tcBorders>
            <w:shd w:val="clear" w:color="auto" w:fill="FFFFFF"/>
            <w:vAlign w:val="bottom"/>
          </w:tcPr>
          <w:p w14:paraId="73519928">
            <w:pPr>
              <w:framePr w:w="9643" w:h="1828" w:hRule="exact" w:wrap="notBeside" w:vAnchor="text" w:hAnchor="text" w:xAlign="center" w:y="2"/>
              <w:spacing w:line="360" w:lineRule="auto"/>
              <w:jc w:val="both"/>
              <w:rPr>
                <w:sz w:val="28"/>
                <w:szCs w:val="28"/>
              </w:rPr>
            </w:pPr>
            <w:r>
              <w:rPr>
                <w:rStyle w:val="13"/>
                <w:sz w:val="28"/>
                <w:szCs w:val="28"/>
              </w:rPr>
              <w:t>3</w:t>
            </w:r>
          </w:p>
        </w:tc>
        <w:tc>
          <w:tcPr>
            <w:tcW w:w="3211" w:type="dxa"/>
            <w:tcBorders>
              <w:top w:val="single" w:color="auto" w:sz="4" w:space="0"/>
              <w:left w:val="single" w:color="auto" w:sz="4" w:space="0"/>
              <w:bottom w:val="single" w:color="auto" w:sz="4" w:space="0"/>
            </w:tcBorders>
            <w:shd w:val="clear" w:color="auto" w:fill="FFFFFF"/>
            <w:vAlign w:val="bottom"/>
          </w:tcPr>
          <w:p w14:paraId="1C6D7C5C">
            <w:pPr>
              <w:framePr w:w="9643" w:h="1828" w:hRule="exact" w:wrap="notBeside" w:vAnchor="text" w:hAnchor="text" w:xAlign="center" w:y="2"/>
              <w:spacing w:line="360" w:lineRule="auto"/>
              <w:jc w:val="both"/>
              <w:rPr>
                <w:sz w:val="28"/>
                <w:szCs w:val="28"/>
              </w:rPr>
            </w:pPr>
            <w:r>
              <w:rPr>
                <w:rStyle w:val="15"/>
                <w:sz w:val="28"/>
                <w:szCs w:val="28"/>
              </w:rPr>
              <w:t>Мазут (тыс. тонн)</w:t>
            </w:r>
          </w:p>
        </w:tc>
        <w:tc>
          <w:tcPr>
            <w:tcW w:w="1810" w:type="dxa"/>
            <w:tcBorders>
              <w:top w:val="single" w:color="auto" w:sz="4" w:space="0"/>
              <w:left w:val="single" w:color="auto" w:sz="4" w:space="0"/>
              <w:bottom w:val="single" w:color="auto" w:sz="4" w:space="0"/>
            </w:tcBorders>
            <w:shd w:val="clear" w:color="auto" w:fill="FFFFFF"/>
            <w:vAlign w:val="bottom"/>
          </w:tcPr>
          <w:p w14:paraId="2F488D65">
            <w:pPr>
              <w:framePr w:w="9643" w:h="1828" w:hRule="exact" w:wrap="notBeside" w:vAnchor="text" w:hAnchor="text" w:xAlign="center" w:y="2"/>
              <w:spacing w:line="360" w:lineRule="auto"/>
              <w:ind w:firstLine="700"/>
              <w:jc w:val="both"/>
              <w:rPr>
                <w:sz w:val="28"/>
                <w:szCs w:val="28"/>
              </w:rPr>
            </w:pPr>
            <w:r>
              <w:rPr>
                <w:rStyle w:val="15"/>
                <w:sz w:val="28"/>
                <w:szCs w:val="28"/>
              </w:rPr>
              <w:t>204</w:t>
            </w:r>
          </w:p>
        </w:tc>
        <w:tc>
          <w:tcPr>
            <w:tcW w:w="1930" w:type="dxa"/>
            <w:tcBorders>
              <w:top w:val="single" w:color="auto" w:sz="4" w:space="0"/>
              <w:left w:val="single" w:color="auto" w:sz="4" w:space="0"/>
              <w:bottom w:val="single" w:color="auto" w:sz="4" w:space="0"/>
            </w:tcBorders>
            <w:shd w:val="clear" w:color="auto" w:fill="FFFFFF"/>
            <w:vAlign w:val="bottom"/>
          </w:tcPr>
          <w:p w14:paraId="0D652978">
            <w:pPr>
              <w:framePr w:w="9643" w:h="1828" w:hRule="exact" w:wrap="notBeside" w:vAnchor="text" w:hAnchor="text" w:xAlign="center" w:y="2"/>
              <w:spacing w:line="360" w:lineRule="auto"/>
              <w:ind w:firstLine="700"/>
              <w:jc w:val="both"/>
              <w:rPr>
                <w:sz w:val="28"/>
                <w:szCs w:val="28"/>
              </w:rPr>
            </w:pPr>
            <w:r>
              <w:rPr>
                <w:rStyle w:val="15"/>
                <w:sz w:val="28"/>
                <w:szCs w:val="28"/>
              </w:rPr>
              <w:t>50</w:t>
            </w:r>
          </w:p>
        </w:tc>
        <w:tc>
          <w:tcPr>
            <w:tcW w:w="1934" w:type="dxa"/>
            <w:tcBorders>
              <w:top w:val="single" w:color="auto" w:sz="4" w:space="0"/>
              <w:left w:val="single" w:color="auto" w:sz="4" w:space="0"/>
              <w:bottom w:val="single" w:color="auto" w:sz="4" w:space="0"/>
              <w:right w:val="single" w:color="auto" w:sz="4" w:space="0"/>
            </w:tcBorders>
            <w:shd w:val="clear" w:color="auto" w:fill="FFFFFF"/>
            <w:vAlign w:val="bottom"/>
          </w:tcPr>
          <w:p w14:paraId="7CF4A8E5">
            <w:pPr>
              <w:framePr w:w="9643" w:h="1828" w:hRule="exact" w:wrap="notBeside" w:vAnchor="text" w:hAnchor="text" w:xAlign="center" w:y="2"/>
              <w:spacing w:line="360" w:lineRule="auto"/>
              <w:ind w:firstLine="700"/>
              <w:jc w:val="both"/>
              <w:rPr>
                <w:sz w:val="28"/>
                <w:szCs w:val="28"/>
              </w:rPr>
            </w:pPr>
            <w:r>
              <w:rPr>
                <w:rStyle w:val="15"/>
                <w:sz w:val="28"/>
                <w:szCs w:val="28"/>
              </w:rPr>
              <w:t>50</w:t>
            </w:r>
          </w:p>
        </w:tc>
      </w:tr>
    </w:tbl>
    <w:p w14:paraId="1713169D">
      <w:pPr>
        <w:framePr w:w="9643" w:h="1828" w:hRule="exact" w:wrap="notBeside" w:vAnchor="text" w:hAnchor="text" w:xAlign="center" w:y="2"/>
        <w:spacing w:line="360" w:lineRule="auto"/>
        <w:ind w:firstLine="700"/>
        <w:jc w:val="both"/>
        <w:rPr>
          <w:sz w:val="28"/>
          <w:szCs w:val="28"/>
        </w:rPr>
      </w:pPr>
    </w:p>
    <w:p w14:paraId="52574852">
      <w:pPr>
        <w:spacing w:line="360" w:lineRule="auto"/>
        <w:ind w:firstLine="700"/>
        <w:jc w:val="both"/>
        <w:rPr>
          <w:sz w:val="28"/>
          <w:szCs w:val="28"/>
        </w:rPr>
      </w:pPr>
    </w:p>
    <w:p w14:paraId="797E4FF9">
      <w:pPr>
        <w:spacing w:line="360" w:lineRule="auto"/>
        <w:ind w:firstLine="700"/>
        <w:jc w:val="both"/>
        <w:rPr>
          <w:sz w:val="28"/>
          <w:szCs w:val="28"/>
        </w:rPr>
      </w:pPr>
      <w:r>
        <w:rPr>
          <w:sz w:val="28"/>
          <w:szCs w:val="28"/>
          <w:lang w:bidi="ru-RU"/>
        </w:rPr>
        <w:t xml:space="preserve">г) в собственности государства останутся ГЭС, АЭС и некоторые ТЭС, </w:t>
      </w:r>
      <w:r>
        <w:rPr>
          <w:color w:val="000000"/>
          <w:sz w:val="28"/>
          <w:szCs w:val="28"/>
          <w:lang w:bidi="ru-RU"/>
        </w:rPr>
        <w:t>а большая часть генерации будет сосредоточена в частном секторе;</w:t>
      </w:r>
    </w:p>
    <w:p w14:paraId="7DCEE9A8">
      <w:pPr>
        <w:spacing w:line="360" w:lineRule="auto"/>
        <w:ind w:firstLine="700"/>
        <w:jc w:val="both"/>
        <w:rPr>
          <w:sz w:val="28"/>
          <w:szCs w:val="28"/>
        </w:rPr>
      </w:pPr>
      <w:r>
        <w:rPr>
          <w:color w:val="000000"/>
          <w:sz w:val="28"/>
          <w:szCs w:val="28"/>
          <w:lang w:bidi="ru-RU"/>
        </w:rPr>
        <w:t>д) к 2025 году потери электрической энергии при её передаче сократятся до 2,4 процента или в 1,03 раза относительно 2019 года, при распределении до 7,9 процента или в 1,51 раз ниже уровня 2019 года.</w:t>
      </w:r>
    </w:p>
    <w:p w14:paraId="05E6C8F2">
      <w:pPr>
        <w:spacing w:line="360" w:lineRule="auto"/>
        <w:ind w:firstLine="700"/>
        <w:jc w:val="both"/>
        <w:rPr>
          <w:sz w:val="28"/>
          <w:szCs w:val="28"/>
        </w:rPr>
      </w:pPr>
      <w:r>
        <w:rPr>
          <w:color w:val="000000"/>
          <w:sz w:val="28"/>
          <w:szCs w:val="28"/>
          <w:lang w:bidi="ru-RU"/>
        </w:rPr>
        <w:t>При этом, к 2030 году показатель потерь при передаче электрической энергии составит 2,35 процента или сократится в 1,05 раза относительно 2019 года, при распределении - 6,5 процентов или в 1,85 раз ниже 2019 года.</w:t>
      </w:r>
    </w:p>
    <w:p w14:paraId="01B7A996">
      <w:pPr>
        <w:spacing w:line="360" w:lineRule="auto"/>
        <w:ind w:firstLine="700"/>
        <w:jc w:val="both"/>
        <w:rPr>
          <w:sz w:val="28"/>
          <w:szCs w:val="28"/>
        </w:rPr>
      </w:pPr>
      <w:r>
        <w:rPr>
          <w:color w:val="000000"/>
          <w:sz w:val="28"/>
          <w:szCs w:val="28"/>
          <w:lang w:bidi="ru-RU"/>
        </w:rPr>
        <w:t>е) в рамках развития ВИЭ будут решены задачи по обеспечению доступной электрической энергией энергодефицитных регионов республики, достижению целей по улучшению экологии и повышению энергоэффективности, стимулированию развития местной промышленности, инфраструктуры и созданию рабочих мест.</w:t>
      </w:r>
    </w:p>
    <w:p w14:paraId="7DF17F68">
      <w:pPr>
        <w:spacing w:line="360" w:lineRule="auto"/>
        <w:jc w:val="center"/>
        <w:rPr>
          <w:b/>
          <w:sz w:val="28"/>
          <w:szCs w:val="28"/>
        </w:rPr>
      </w:pPr>
      <w:r>
        <w:rPr>
          <w:b/>
          <w:sz w:val="28"/>
          <w:szCs w:val="28"/>
        </w:rPr>
        <w:t>Проблемы качества электроэнергии в электрических сетях энергосистем и системах электроснабжения промышленных предприятий</w:t>
      </w:r>
    </w:p>
    <w:p w14:paraId="34B1C786">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Непрерывный рост установленной мощности нелинейных, несимметричных и резкопеременных нагрузок приводит к ухудшению качества электроэнергии.  В свою очередь низкое качество электроэнергии обусловливает ежегодные ущербы, составляющие сотни млрд. у.е. Среди отрицательных последствий низкого качества электроэнергии (КЭ) электротехнического и технологического характера следует отметить следующие:</w:t>
      </w:r>
    </w:p>
    <w:p w14:paraId="23402B22">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 увеличение потерь электроэнергии; </w:t>
      </w:r>
    </w:p>
    <w:p w14:paraId="6FC38DD1">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 сокращение срока службы изоляции электроустановок, технологического оборудования; </w:t>
      </w:r>
    </w:p>
    <w:p w14:paraId="3C247C4B">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 сбои, ошибки и отказы в работе релейной защиты и автоматики, телемеханики и связи, микропроцессорной техники; </w:t>
      </w:r>
    </w:p>
    <w:p w14:paraId="5EC11C57">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увеличение капитальных вложений в электрические сети и системы электроснабжения;</w:t>
      </w:r>
    </w:p>
    <w:p w14:paraId="3169204E">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рост эксплуатационных издержек в сетях энергосистем и их потребителей;</w:t>
      </w:r>
    </w:p>
    <w:p w14:paraId="29091CFD">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 снижение надежности и устойчивости систем; </w:t>
      </w:r>
    </w:p>
    <w:p w14:paraId="5DA9E8C8">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 нарушение нормального функционирования электроприемников и потребителей электроэнергии; </w:t>
      </w:r>
    </w:p>
    <w:p w14:paraId="5A541673">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возрастание рисков для здоровья и жизни людей, окружающей среды.</w:t>
      </w:r>
    </w:p>
    <w:p w14:paraId="66EE12CA">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В связи с этим необходимо уметь оценивать качество электроэнергии и обеспечивать его количественное значение в пределах, исключающих негативные последствия. </w:t>
      </w:r>
    </w:p>
    <w:p w14:paraId="5653C77E">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Качество электроэнергии - это совокупность ее свойств, определяющих воздействия на электрооборудование, аппараты и проборы и оцениваемых параметрами качества электроэнергии, описывающими особенности процесса передачи электроэнергии для ее использования в нормальных условиях эксплуатации. Нормальные условия эксплуатации предусматривают непрерывность электроснабжения при обеспечении промышленной частоты напряжения питания требуемой величины, формы волны, его одинаковости по фазам (симметрии).</w:t>
      </w:r>
    </w:p>
    <w:p w14:paraId="67190D21">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Исходя из определения КЭ, следует отметить, что оно выражается степенью удовлетворения потребителя условиями электроснабжения и зависит не только от этих условий, но и от особенностей применяемого электрооборудования: его критичности к электромагнитным помехам и их генерированию.</w:t>
      </w:r>
    </w:p>
    <w:p w14:paraId="47199B75">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К параметрам качества электроэнергии относят следующие: отклонение напряжения, колебание напряжения, несинусоидальность кривой напряжения, несимметрию напряжения, отклонение частоты, электромагнитные помехи.</w:t>
      </w:r>
    </w:p>
    <w:p w14:paraId="3C6DA3A2">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Отклонение напряжения - это медленное изменение его значений относительно номинального.</w:t>
      </w:r>
    </w:p>
    <w:p w14:paraId="552B464E">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Колебание напряжения - это быстрые изменения его текущих значений относительно друг друга. Несинусоидальность кривой напряжения - это искажение формы волны, т.е. отличие формы кривой напряжения от синусоиды.</w:t>
      </w:r>
    </w:p>
    <w:p w14:paraId="783510F9">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Несимметрия напряжения - это неравенство фазных и линейных напряжений как по амплитуде, так и аргументу (углу).</w:t>
      </w:r>
    </w:p>
    <w:p w14:paraId="26D91D37">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Отклонение частоты - это изменение текущих значений частоты относительно номинального.</w:t>
      </w:r>
    </w:p>
    <w:p w14:paraId="72428B16">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Электромагнитные помехи - это выбросы (импульсы) и провалы напряжения длительностью не более 30 с, кратковременные перенапряжения. Параметры качества электроэнергии количественно описываются показателями качества электроэнергии (ПКЭ). Электроэнергия как товар должна соответствовать определенному качеству, поэтому показатели качества электроэнергии нормируются. Для обеспечения потребителей электроэнергией нормального качества, снижения или исключения негативных последствий от низкого качества электроэнергии необходимо управлять качеством электроэнергии.</w:t>
      </w:r>
    </w:p>
    <w:p w14:paraId="7DDECF76">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Под управлением КЭ понимают проведение методических, организационных и технических мероприятий, направленных на обеспечение КЭ в системах электроснабжений в пределах установленных норм и правил.</w:t>
      </w:r>
    </w:p>
    <w:p w14:paraId="67C9E776">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Методические мероприятия направлены на: ограничение уровней ПКЭ, источником искажения качества электроэнергии при этом является как электрооборудование и отдельные ЭП потребителя, так и технологическое оборудование энергосистемы; управление нормальными, аварийными и послеаварийными режимами путем регулирования напряжения и частоты; контроль и анализ ПКЭ; обеспечение надежности функционирования систем электроснабжения в условиях нормального качества электроэнергии.</w:t>
      </w:r>
    </w:p>
    <w:p w14:paraId="47C194F9">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К организационным мероприятиям относится правовое и нормативное обеспечение КЭ, включающее юридическую, экономическую и финансовую базу и направленное на укрепление на оптовых и розничных рынках энергии и мощности договорной основы в части требований к КЭ. Технические мероприятия включают в себя: применение схемных и технических решений, технический средств, направленных на обеспечение КЭ в нормируемых пределах; мониторинг КЭ; производство средств измерения для учета и контроля КЭ, систем управления КЭ, в т.ч. и автоматизированных.</w:t>
      </w:r>
    </w:p>
    <w:p w14:paraId="687CFF01">
      <w:pPr>
        <w:spacing w:line="360" w:lineRule="auto"/>
        <w:ind w:firstLine="700"/>
        <w:jc w:val="both"/>
        <w:rPr>
          <w:b/>
          <w:sz w:val="28"/>
          <w:szCs w:val="28"/>
        </w:rPr>
      </w:pPr>
    </w:p>
    <w:p w14:paraId="1E4FAE72">
      <w:pPr>
        <w:spacing w:line="360" w:lineRule="auto"/>
        <w:jc w:val="center"/>
        <w:rPr>
          <w:b/>
          <w:sz w:val="28"/>
          <w:szCs w:val="28"/>
        </w:rPr>
      </w:pPr>
      <w:r>
        <w:rPr>
          <w:b/>
          <w:sz w:val="28"/>
          <w:szCs w:val="28"/>
        </w:rPr>
        <w:drawing>
          <wp:inline distT="0" distB="0" distL="0" distR="0">
            <wp:extent cx="5440680" cy="4157980"/>
            <wp:effectExtent l="0" t="0" r="0" b="2540"/>
            <wp:docPr id="116" name="Рисунок 116" descr="Что такое распределение электроэнергии? - О меха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116" descr="Что такое распределение электроэнергии? - О механик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41097" cy="4158299"/>
                    </a:xfrm>
                    <a:prstGeom prst="rect">
                      <a:avLst/>
                    </a:prstGeom>
                    <a:noFill/>
                    <a:ln>
                      <a:noFill/>
                    </a:ln>
                  </pic:spPr>
                </pic:pic>
              </a:graphicData>
            </a:graphic>
          </wp:inline>
        </w:drawing>
      </w:r>
    </w:p>
    <w:p w14:paraId="71E40029">
      <w:pPr>
        <w:spacing w:line="360" w:lineRule="auto"/>
        <w:ind w:firstLine="700"/>
        <w:jc w:val="both"/>
        <w:rPr>
          <w:b/>
          <w:sz w:val="28"/>
          <w:szCs w:val="28"/>
        </w:rPr>
      </w:pPr>
    </w:p>
    <w:p w14:paraId="52E7204D">
      <w:pPr>
        <w:spacing w:line="360" w:lineRule="auto"/>
        <w:jc w:val="center"/>
        <w:rPr>
          <w:sz w:val="28"/>
          <w:szCs w:val="28"/>
        </w:rPr>
      </w:pPr>
      <w:r>
        <w:rPr>
          <w:sz w:val="28"/>
          <w:szCs w:val="28"/>
        </w:rPr>
        <w:t>Рисунок 1.14 - Распределение энергетических ресурсов</w:t>
      </w:r>
    </w:p>
    <w:p w14:paraId="07CF0A1C">
      <w:pPr>
        <w:spacing w:line="360" w:lineRule="auto"/>
        <w:jc w:val="center"/>
        <w:rPr>
          <w:b/>
          <w:sz w:val="28"/>
          <w:szCs w:val="28"/>
        </w:rPr>
      </w:pPr>
      <w:r>
        <w:rPr>
          <w:b/>
          <w:sz w:val="28"/>
          <w:szCs w:val="28"/>
        </w:rPr>
        <w:drawing>
          <wp:inline distT="0" distB="0" distL="0" distR="0">
            <wp:extent cx="5212080" cy="1905000"/>
            <wp:effectExtent l="0" t="0" r="0" b="0"/>
            <wp:docPr id="117" name="Рисунок 117" descr="Как происходит передача и распределение электроэнергии - Сам электр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117" descr="Как происходит передача и распределение электроэнергии - Сам электрик"/>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12080" cy="1905000"/>
                    </a:xfrm>
                    <a:prstGeom prst="rect">
                      <a:avLst/>
                    </a:prstGeom>
                    <a:noFill/>
                    <a:ln>
                      <a:noFill/>
                    </a:ln>
                  </pic:spPr>
                </pic:pic>
              </a:graphicData>
            </a:graphic>
          </wp:inline>
        </w:drawing>
      </w:r>
    </w:p>
    <w:p w14:paraId="2CC3895F">
      <w:pPr>
        <w:spacing w:line="360" w:lineRule="auto"/>
        <w:jc w:val="center"/>
        <w:rPr>
          <w:b/>
          <w:sz w:val="28"/>
          <w:szCs w:val="28"/>
        </w:rPr>
      </w:pPr>
      <w:r>
        <w:rPr>
          <w:sz w:val="28"/>
          <w:szCs w:val="28"/>
        </w:rPr>
        <w:t>Рисунок 1.15 - Факторы передачи электрической энергии</w:t>
      </w:r>
    </w:p>
    <w:p w14:paraId="6479DA00">
      <w:pPr>
        <w:spacing w:line="360" w:lineRule="auto"/>
        <w:jc w:val="center"/>
        <w:rPr>
          <w:b/>
          <w:sz w:val="28"/>
          <w:szCs w:val="28"/>
        </w:rPr>
      </w:pPr>
    </w:p>
    <w:p w14:paraId="31AD1FB2">
      <w:pPr>
        <w:spacing w:line="360" w:lineRule="auto"/>
        <w:ind w:firstLine="709"/>
        <w:jc w:val="both"/>
        <w:rPr>
          <w:b/>
          <w:sz w:val="28"/>
          <w:szCs w:val="28"/>
        </w:rPr>
      </w:pPr>
    </w:p>
    <w:p w14:paraId="59A5C681">
      <w:pPr>
        <w:spacing w:line="360" w:lineRule="auto"/>
        <w:jc w:val="center"/>
        <w:rPr>
          <w:b/>
          <w:sz w:val="28"/>
          <w:szCs w:val="28"/>
        </w:rPr>
      </w:pPr>
      <w:r>
        <w:rPr>
          <w:b/>
          <w:sz w:val="28"/>
          <w:szCs w:val="28"/>
        </w:rPr>
        <w:drawing>
          <wp:inline distT="0" distB="0" distL="0" distR="0">
            <wp:extent cx="5196840" cy="3604260"/>
            <wp:effectExtent l="0" t="0" r="0" b="7620"/>
            <wp:docPr id="118" name="Рисунок 118" descr="Виды электроснабжения - Виды электроснаб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descr="Виды электроснабжения - Виды электроснабжения"/>
                    <pic:cNvPicPr>
                      <a:picLocks noChangeAspect="1" noChangeArrowheads="1"/>
                    </pic:cNvPicPr>
                  </pic:nvPicPr>
                  <pic:blipFill>
                    <a:blip r:embed="rId23">
                      <a:extLst>
                        <a:ext uri="{28A0092B-C50C-407E-A947-70E740481C1C}">
                          <a14:useLocalDpi xmlns:a14="http://schemas.microsoft.com/office/drawing/2010/main" val="0"/>
                        </a:ext>
                      </a:extLst>
                    </a:blip>
                    <a:srcRect r="872" b="1252"/>
                    <a:stretch>
                      <a:fillRect/>
                    </a:stretch>
                  </pic:blipFill>
                  <pic:spPr>
                    <a:xfrm>
                      <a:off x="0" y="0"/>
                      <a:ext cx="5196840" cy="3604260"/>
                    </a:xfrm>
                    <a:prstGeom prst="rect">
                      <a:avLst/>
                    </a:prstGeom>
                    <a:noFill/>
                    <a:ln>
                      <a:noFill/>
                    </a:ln>
                  </pic:spPr>
                </pic:pic>
              </a:graphicData>
            </a:graphic>
          </wp:inline>
        </w:drawing>
      </w:r>
    </w:p>
    <w:p w14:paraId="47BD30B5">
      <w:pPr>
        <w:autoSpaceDE w:val="0"/>
        <w:autoSpaceDN w:val="0"/>
        <w:adjustRightInd w:val="0"/>
        <w:spacing w:line="360" w:lineRule="auto"/>
        <w:jc w:val="center"/>
        <w:rPr>
          <w:rFonts w:eastAsiaTheme="minorHAnsi"/>
          <w:b/>
          <w:iCs/>
          <w:color w:val="000000"/>
          <w:sz w:val="28"/>
          <w:szCs w:val="28"/>
          <w:lang w:eastAsia="en-US"/>
        </w:rPr>
      </w:pPr>
      <w:r>
        <w:rPr>
          <w:sz w:val="28"/>
          <w:szCs w:val="28"/>
        </w:rPr>
        <w:t>Рисунок 1.16 - Структурная схема распределения электрической энергии</w:t>
      </w:r>
    </w:p>
    <w:p w14:paraId="0AD639D5">
      <w:pPr>
        <w:autoSpaceDE w:val="0"/>
        <w:autoSpaceDN w:val="0"/>
        <w:adjustRightInd w:val="0"/>
        <w:spacing w:line="360" w:lineRule="auto"/>
        <w:jc w:val="center"/>
        <w:rPr>
          <w:rFonts w:eastAsiaTheme="minorHAnsi"/>
          <w:b/>
          <w:iCs/>
          <w:color w:val="000000"/>
          <w:sz w:val="28"/>
          <w:szCs w:val="28"/>
          <w:lang w:eastAsia="en-US"/>
        </w:rPr>
      </w:pPr>
    </w:p>
    <w:p w14:paraId="40027488">
      <w:pPr>
        <w:autoSpaceDE w:val="0"/>
        <w:autoSpaceDN w:val="0"/>
        <w:adjustRightInd w:val="0"/>
        <w:spacing w:line="360" w:lineRule="auto"/>
        <w:jc w:val="center"/>
        <w:rPr>
          <w:rFonts w:eastAsiaTheme="minorHAnsi"/>
          <w:b/>
          <w:iCs/>
          <w:color w:val="000000"/>
          <w:sz w:val="28"/>
          <w:szCs w:val="28"/>
          <w:lang w:eastAsia="en-US"/>
        </w:rPr>
      </w:pPr>
      <w:r>
        <w:rPr>
          <w:rFonts w:eastAsiaTheme="minorHAnsi"/>
          <w:b/>
          <w:iCs/>
          <w:color w:val="000000"/>
          <w:sz w:val="28"/>
          <w:szCs w:val="28"/>
          <w:lang w:eastAsia="en-US"/>
        </w:rPr>
        <w:t>Основные термины и определения</w:t>
      </w:r>
    </w:p>
    <w:p w14:paraId="393D6B02">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Качество электрической энергии - </w:t>
      </w:r>
      <w:r>
        <w:rPr>
          <w:rFonts w:eastAsiaTheme="minorHAnsi"/>
          <w:color w:val="000000"/>
          <w:sz w:val="28"/>
          <w:szCs w:val="28"/>
          <w:lang w:eastAsia="en-US"/>
        </w:rPr>
        <w:t>степень соответствия параметров электрической энергии их установленным значениям.</w:t>
      </w:r>
    </w:p>
    <w:p w14:paraId="043F1142">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Контроль качества электрической энергии - </w:t>
      </w:r>
      <w:r>
        <w:rPr>
          <w:rFonts w:eastAsiaTheme="minorHAnsi"/>
          <w:color w:val="000000"/>
          <w:sz w:val="28"/>
          <w:szCs w:val="28"/>
          <w:lang w:eastAsia="en-US"/>
        </w:rPr>
        <w:t>проверка соответствия показателей качества электрической энергии установленным нормам качества.</w:t>
      </w:r>
    </w:p>
    <w:p w14:paraId="0285C92D">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Параметр электрической энергии - </w:t>
      </w:r>
      <w:r>
        <w:rPr>
          <w:rFonts w:eastAsiaTheme="minorHAnsi"/>
          <w:color w:val="000000"/>
          <w:sz w:val="28"/>
          <w:szCs w:val="28"/>
          <w:lang w:eastAsia="en-US"/>
        </w:rPr>
        <w:t xml:space="preserve">величина, количественно характеризующая какое-либо свойство электрической энергии. Примечание. Под параметрами электрической энергии понимают напряжение, частоту, форму кривой электрического тока </w:t>
      </w:r>
      <w:r>
        <w:rPr>
          <w:rFonts w:eastAsiaTheme="minorHAnsi"/>
          <w:b/>
          <w:bCs/>
          <w:color w:val="000000"/>
          <w:sz w:val="28"/>
          <w:szCs w:val="28"/>
          <w:lang w:eastAsia="en-US"/>
        </w:rPr>
        <w:t xml:space="preserve">Показатель качества электрической энергии - </w:t>
      </w:r>
      <w:r>
        <w:rPr>
          <w:rFonts w:eastAsiaTheme="minorHAnsi"/>
          <w:color w:val="000000"/>
          <w:sz w:val="28"/>
          <w:szCs w:val="28"/>
          <w:lang w:eastAsia="en-US"/>
        </w:rPr>
        <w:t>величина, характеризующая качество электрической энергии по одному или нескольким ее параметрам.</w:t>
      </w:r>
    </w:p>
    <w:p w14:paraId="61837FAA">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Норма качества электрической энергии - </w:t>
      </w:r>
      <w:r>
        <w:rPr>
          <w:rFonts w:eastAsiaTheme="minorHAnsi"/>
          <w:color w:val="000000"/>
          <w:sz w:val="28"/>
          <w:szCs w:val="28"/>
          <w:lang w:eastAsia="en-US"/>
        </w:rPr>
        <w:t>установленное предельное значение показателя качества электрической энергии.</w:t>
      </w:r>
    </w:p>
    <w:p w14:paraId="0CC57F12">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Анализ качества электрической энергии - </w:t>
      </w:r>
      <w:r>
        <w:rPr>
          <w:rFonts w:eastAsiaTheme="minorHAnsi"/>
          <w:color w:val="000000"/>
          <w:sz w:val="28"/>
          <w:szCs w:val="28"/>
          <w:lang w:eastAsia="en-US"/>
        </w:rPr>
        <w:t>установление причин несоответствия качества электрической энергии установленным значениям.</w:t>
      </w:r>
    </w:p>
    <w:p w14:paraId="0FA885A5">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Управление качеством электрической энергии - </w:t>
      </w:r>
      <w:r>
        <w:rPr>
          <w:rFonts w:eastAsiaTheme="minorHAnsi"/>
          <w:color w:val="000000"/>
          <w:sz w:val="28"/>
          <w:szCs w:val="28"/>
          <w:lang w:eastAsia="en-US"/>
        </w:rPr>
        <w:t>воздействия на условия и факторы, влияющие на качество электрической энергии.</w:t>
      </w:r>
    </w:p>
    <w:p w14:paraId="4F1BD5F2">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Отклонение напряжения - </w:t>
      </w:r>
      <w:r>
        <w:rPr>
          <w:rFonts w:eastAsiaTheme="minorHAnsi"/>
          <w:color w:val="000000"/>
          <w:sz w:val="28"/>
          <w:szCs w:val="28"/>
          <w:lang w:eastAsia="en-US"/>
        </w:rPr>
        <w:t>величина, равная разности между значением напряжения в данной точке системы электроснабжения в рассматриваемый момент времени и его номинальным или базовым значением.</w:t>
      </w:r>
    </w:p>
    <w:p w14:paraId="79EB77EE">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Отклонение частоты - </w:t>
      </w:r>
      <w:r>
        <w:rPr>
          <w:rFonts w:eastAsiaTheme="minorHAnsi"/>
          <w:color w:val="000000"/>
          <w:sz w:val="28"/>
          <w:szCs w:val="28"/>
          <w:lang w:eastAsia="en-US"/>
        </w:rPr>
        <w:t>величина, равная разности между значением частоты в системе электроснабжения в рассматриваемый момент времени и ее номинальным или базовым значением.</w:t>
      </w:r>
    </w:p>
    <w:p w14:paraId="5964EF8D">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Установившееся отклонение напряжения (частоты) - </w:t>
      </w:r>
      <w:r>
        <w:rPr>
          <w:rFonts w:eastAsiaTheme="minorHAnsi"/>
          <w:color w:val="000000"/>
          <w:sz w:val="28"/>
          <w:szCs w:val="28"/>
          <w:lang w:eastAsia="en-US"/>
        </w:rPr>
        <w:t>отклонение напряжения (частоты) в установившемся режиме работы системы электроснабжения.</w:t>
      </w:r>
    </w:p>
    <w:p w14:paraId="1046EB70">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Непрерывный контроль качества электрической энергии </w:t>
      </w:r>
      <w:r>
        <w:rPr>
          <w:rFonts w:eastAsiaTheme="minorHAnsi"/>
          <w:color w:val="000000"/>
          <w:sz w:val="28"/>
          <w:szCs w:val="28"/>
          <w:lang w:eastAsia="en-US"/>
        </w:rPr>
        <w:t>- контроль качества электрической энергии, при котором поступление информации о контролируемых показателях от средств измерений и оценка их происходят непрерывно.</w:t>
      </w:r>
    </w:p>
    <w:p w14:paraId="0BC2DACB">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Систематический контроль качества электрической энергии -</w:t>
      </w:r>
      <w:r>
        <w:rPr>
          <w:rFonts w:eastAsiaTheme="minorHAnsi"/>
          <w:color w:val="000000"/>
          <w:sz w:val="28"/>
          <w:szCs w:val="28"/>
          <w:lang w:eastAsia="en-US"/>
        </w:rPr>
        <w:t xml:space="preserve">контроль качества электрической энергии, при котором поступление информации о контролируемых показателях и оценка их происходит в заранее установленные моменты времени или периодически с интервалами, определяемыми организацией контроля. </w:t>
      </w:r>
    </w:p>
    <w:p w14:paraId="4D504C93">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Эпизодический контроль качества электрической энергии - </w:t>
      </w:r>
      <w:r>
        <w:rPr>
          <w:rFonts w:eastAsiaTheme="minorHAnsi"/>
          <w:color w:val="000000"/>
          <w:sz w:val="28"/>
          <w:szCs w:val="28"/>
          <w:lang w:eastAsia="en-US"/>
        </w:rPr>
        <w:t>контроль качества электрической энергии, при котором поступление информации о контролируемых показателях и ее оценка производятся по мере необходимости.</w:t>
      </w:r>
    </w:p>
    <w:p w14:paraId="1C969166">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Пункт контроля качества электрической энергии - </w:t>
      </w:r>
      <w:r>
        <w:rPr>
          <w:rFonts w:eastAsiaTheme="minorHAnsi"/>
          <w:color w:val="000000"/>
          <w:sz w:val="28"/>
          <w:szCs w:val="28"/>
          <w:lang w:eastAsia="en-US"/>
        </w:rPr>
        <w:t>точка системы электроснабжения, к которой подключены средства измерения для контроля показателей качества электрической энергии.</w:t>
      </w:r>
    </w:p>
    <w:p w14:paraId="5754C268">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Граница ответственности за качество электрической энергии - </w:t>
      </w:r>
      <w:r>
        <w:rPr>
          <w:rFonts w:eastAsiaTheme="minorHAnsi"/>
          <w:color w:val="000000"/>
          <w:sz w:val="28"/>
          <w:szCs w:val="28"/>
          <w:lang w:eastAsia="en-US"/>
        </w:rPr>
        <w:t>пункт контроля качества электрической энергии, обычно совпадающий с границей раздела балансовой принадлежности электрической сети, за поддержание качества электрической энергии в которой несет ответственность электроснабжающая организация.</w:t>
      </w:r>
    </w:p>
    <w:p w14:paraId="69B2ED24">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b/>
          <w:bCs/>
          <w:color w:val="000000"/>
          <w:sz w:val="28"/>
          <w:szCs w:val="28"/>
          <w:lang w:eastAsia="en-US"/>
        </w:rPr>
        <w:t xml:space="preserve">Ущерб от снижения качества электрической энергии - </w:t>
      </w:r>
      <w:r>
        <w:rPr>
          <w:rFonts w:eastAsiaTheme="minorHAnsi"/>
          <w:color w:val="000000"/>
          <w:sz w:val="28"/>
          <w:szCs w:val="28"/>
          <w:lang w:eastAsia="en-US"/>
        </w:rPr>
        <w:t>Все виды отрицательных последствий, возникающих в работе систем электроснабжения, потребителей и приемников при ухудшении качества электрической энергии.</w:t>
      </w:r>
    </w:p>
    <w:p w14:paraId="1040645C">
      <w:pPr>
        <w:autoSpaceDE w:val="0"/>
        <w:autoSpaceDN w:val="0"/>
        <w:adjustRightInd w:val="0"/>
        <w:spacing w:line="360" w:lineRule="auto"/>
        <w:jc w:val="center"/>
        <w:rPr>
          <w:rFonts w:eastAsiaTheme="minorHAnsi"/>
          <w:b/>
          <w:bCs/>
          <w:iCs/>
          <w:sz w:val="28"/>
          <w:szCs w:val="28"/>
          <w:lang w:eastAsia="en-US"/>
        </w:rPr>
      </w:pPr>
      <w:r>
        <w:rPr>
          <w:rFonts w:eastAsiaTheme="minorHAnsi"/>
          <w:b/>
          <w:bCs/>
          <w:iCs/>
          <w:sz w:val="28"/>
          <w:szCs w:val="28"/>
          <w:lang w:eastAsia="en-US"/>
        </w:rPr>
        <w:t>Проблемы качества электрической энергии</w:t>
      </w:r>
    </w:p>
    <w:p w14:paraId="1156CE94">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 xml:space="preserve">Основным средством электроснабжения являются трехфазные электрические системы, питаемые от трехфазных синхронных генераторов большой мощности, устанавливаемых на электростанциях. Синхронные генераторы приводятся во вращение в основном паровыми турбинами, преобразующими тепловую энергию топлива в механическое вращательное движение вала турбины при относительно невысоком коэффициенте полезного действия. </w:t>
      </w:r>
    </w:p>
    <w:p w14:paraId="4A3FBD3C">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 xml:space="preserve">От синхронного генератора электрическая энергия поступает к электрическим потребителям через линии электропередачи, образующие электрические сети. Потребители электроэнергии осуществляют преобразование электрической энергии в другие виды энергии - механическую, тепловую, световую и т. п. Таким образом, исходя из системного подхода, следует отметить, что эффективность генерации - передачи - потребления электроэнергии определяется эффективностью работы каждого звена электроэнергетической системы. </w:t>
      </w:r>
    </w:p>
    <w:p w14:paraId="0A4B8CDA">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Особое место в этой системе занимают линии электропередачи. Представляя собою, казалось бы, наименее сложную часть системы, они, в то же время, влияют на потери электроэнергии. Борьба с этими потерями традиционно представляет собой одну из основных задач электроэнергетики. Успешное решение этой задачи в конечном счете может привести к существенной экономии энергоресурсов, исчисляемой миллионными показателями экономического эффекта в масштабах страны.</w:t>
      </w:r>
    </w:p>
    <w:p w14:paraId="0F6749CF">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 xml:space="preserve">Концептуально оправдано считать линией электропередачи всю систему, расположенную между зажимами источников синусоидальных напряжений (то есть выходными зажимами трехфазного синхронного генератора) и зажимами, к которым присоединяется электропотребитель (нагрузка). </w:t>
      </w:r>
    </w:p>
    <w:p w14:paraId="08875009">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 xml:space="preserve">В действительности на этом участке имеются не только провода в виде воздушных или кабельных линий электропередачи, но и различные устройства преобразования электрической энергии, включая силовые трансформаторы и полупроводниковые преобразователи параметров электрической энергии в виде выпрямительных и инверторных полупроводниковых агрегатов. </w:t>
      </w:r>
    </w:p>
    <w:p w14:paraId="4A1627D6">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 xml:space="preserve">Как правило, при проектировании электрических сетей учитываются в основном силовые трансформаторы. Учет их осуществляется, например, введением комплексных сопротивлений, отображающих потери рассеивания, и источников мощности, соответствующих потерям на намагничивание сердечника трансформатора. Проводники представляются активно-индуктивными сопротивлениями в зависимости от типа провода или кабеля, а также расстояния, на которое эти проводники передают электрическую энергию. При проектировании потери в линиях электропередачи определяются токами, протекающими через активные сопротивления схем замещения указанных элементов, поэтому вопрос о снижении потерь в сетях, по сути, состоит в снижении уровней токов, протекающих в этих сетях. </w:t>
      </w:r>
    </w:p>
    <w:p w14:paraId="4F0309EB">
      <w:pPr>
        <w:autoSpaceDE w:val="0"/>
        <w:autoSpaceDN w:val="0"/>
        <w:adjustRightInd w:val="0"/>
        <w:spacing w:line="360" w:lineRule="auto"/>
        <w:ind w:firstLine="709"/>
        <w:jc w:val="both"/>
        <w:rPr>
          <w:rFonts w:eastAsiaTheme="minorHAnsi"/>
          <w:sz w:val="28"/>
          <w:szCs w:val="28"/>
          <w:lang w:eastAsia="en-US"/>
        </w:rPr>
      </w:pPr>
      <w:r>
        <w:rPr>
          <w:rFonts w:eastAsiaTheme="minorHAnsi"/>
          <w:sz w:val="28"/>
          <w:szCs w:val="28"/>
          <w:lang w:eastAsia="en-US"/>
        </w:rPr>
        <w:t>Какие же факторы приводят к неоправданному увеличению потерь в сетях при заданных уровнях токов, потребляемых нагрузками? Эти факторы связаны в значительной мере с реактивной мощностью в системе и несимметрией в потреблении электрической энергии трехфазных систем электроснабжения.</w:t>
      </w:r>
    </w:p>
    <w:p w14:paraId="42A059A8">
      <w:pPr>
        <w:autoSpaceDE w:val="0"/>
        <w:autoSpaceDN w:val="0"/>
        <w:adjustRightInd w:val="0"/>
        <w:spacing w:line="360" w:lineRule="auto"/>
        <w:jc w:val="center"/>
        <w:rPr>
          <w:rFonts w:eastAsiaTheme="minorHAnsi"/>
          <w:sz w:val="19"/>
          <w:szCs w:val="19"/>
          <w:lang w:eastAsia="en-US"/>
        </w:rPr>
      </w:pPr>
      <w:r>
        <w:rPr>
          <w:rFonts w:eastAsiaTheme="minorHAnsi"/>
          <w:sz w:val="19"/>
          <w:szCs w:val="19"/>
        </w:rPr>
        <w:drawing>
          <wp:inline distT="0" distB="0" distL="0" distR="0">
            <wp:extent cx="5939790" cy="2971800"/>
            <wp:effectExtent l="0" t="0" r="3810" b="0"/>
            <wp:docPr id="119" name="Рисунок 119" descr="1.3. Энергетическая сист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119" descr="1.3. Энергетическая система"/>
                    <pic:cNvPicPr>
                      <a:picLocks noChangeAspect="1" noChangeArrowheads="1"/>
                    </pic:cNvPicPr>
                  </pic:nvPicPr>
                  <pic:blipFill>
                    <a:blip r:embed="rId24">
                      <a:extLst>
                        <a:ext uri="{28A0092B-C50C-407E-A947-70E740481C1C}">
                          <a14:useLocalDpi xmlns:a14="http://schemas.microsoft.com/office/drawing/2010/main" val="0"/>
                        </a:ext>
                      </a:extLst>
                    </a:blip>
                    <a:srcRect b="6446"/>
                    <a:stretch>
                      <a:fillRect/>
                    </a:stretch>
                  </pic:blipFill>
                  <pic:spPr>
                    <a:xfrm>
                      <a:off x="0" y="0"/>
                      <a:ext cx="5940430" cy="2972120"/>
                    </a:xfrm>
                    <a:prstGeom prst="rect">
                      <a:avLst/>
                    </a:prstGeom>
                    <a:noFill/>
                    <a:ln>
                      <a:noFill/>
                    </a:ln>
                  </pic:spPr>
                </pic:pic>
              </a:graphicData>
            </a:graphic>
          </wp:inline>
        </w:drawing>
      </w:r>
    </w:p>
    <w:p w14:paraId="1C9C6158">
      <w:pPr>
        <w:spacing w:line="360" w:lineRule="auto"/>
        <w:jc w:val="center"/>
        <w:rPr>
          <w:b/>
          <w:sz w:val="28"/>
          <w:szCs w:val="28"/>
        </w:rPr>
      </w:pPr>
      <w:r>
        <w:rPr>
          <w:sz w:val="28"/>
          <w:szCs w:val="28"/>
        </w:rPr>
        <w:t>Рисунок 1.17 - Структурная схема передачи электрической энергии</w:t>
      </w:r>
    </w:p>
    <w:p w14:paraId="364F223E">
      <w:pPr>
        <w:spacing w:line="360" w:lineRule="auto"/>
        <w:ind w:firstLine="709"/>
        <w:jc w:val="both"/>
        <w:rPr>
          <w:b/>
          <w:sz w:val="28"/>
          <w:szCs w:val="28"/>
        </w:rPr>
      </w:pPr>
    </w:p>
    <w:p w14:paraId="14E183FC">
      <w:pPr>
        <w:spacing w:line="360" w:lineRule="auto"/>
        <w:jc w:val="center"/>
        <w:rPr>
          <w:b/>
          <w:sz w:val="28"/>
          <w:szCs w:val="28"/>
        </w:rPr>
      </w:pPr>
      <w:r>
        <w:rPr>
          <w:b/>
          <w:sz w:val="28"/>
          <w:szCs w:val="28"/>
        </w:rPr>
        <w:t>Задания для самоподготовки:</w:t>
      </w:r>
    </w:p>
    <w:p w14:paraId="2A911DC2">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Целями данной практической работы являются формирование современного мировоззрения в области управления качеством электроэнергии в распределительных электрических сетях.</w:t>
      </w:r>
    </w:p>
    <w:p w14:paraId="1C2F72B2">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Студент </w:t>
      </w:r>
      <w:r>
        <w:rPr>
          <w:rFonts w:eastAsiaTheme="minorHAnsi"/>
          <w:b/>
          <w:bCs/>
          <w:color w:val="000000"/>
          <w:sz w:val="28"/>
          <w:szCs w:val="28"/>
          <w:lang w:eastAsia="en-US"/>
        </w:rPr>
        <w:t>должен</w:t>
      </w:r>
      <w:r>
        <w:rPr>
          <w:rFonts w:eastAsiaTheme="minorHAnsi"/>
          <w:color w:val="000000"/>
          <w:sz w:val="28"/>
          <w:szCs w:val="28"/>
          <w:lang w:eastAsia="en-US"/>
        </w:rPr>
        <w:t xml:space="preserve">: </w:t>
      </w:r>
    </w:p>
    <w:p w14:paraId="634FDA9F">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 познакомиться с действующими отечественными и зарубежными нормами стандартов на качество электрической энергии; </w:t>
      </w:r>
    </w:p>
    <w:p w14:paraId="0982FC4D">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 иметь представление о том, что влияет на возникновение режимов работы распределительной электрической сети, отличных от номинальных, что именно влияет на изменение показателей КЭ; </w:t>
      </w:r>
    </w:p>
    <w:p w14:paraId="0115D717">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иметь представление о том, каким образом изменение показателей качества электрической энергии влияет на работу других электроприемников;</w:t>
      </w:r>
    </w:p>
    <w:p w14:paraId="3DE93AEA">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иметь представление о том, кто несет ответственность за нарушение норм качества ЭЭ;</w:t>
      </w:r>
    </w:p>
    <w:p w14:paraId="3785E745">
      <w:pPr>
        <w:autoSpaceDE w:val="0"/>
        <w:autoSpaceDN w:val="0"/>
        <w:adjustRightInd w:val="0"/>
        <w:spacing w:line="360" w:lineRule="auto"/>
        <w:ind w:firstLine="709"/>
        <w:jc w:val="both"/>
        <w:rPr>
          <w:rFonts w:eastAsiaTheme="minorHAnsi"/>
          <w:sz w:val="19"/>
          <w:szCs w:val="19"/>
          <w:lang w:eastAsia="en-US"/>
        </w:rPr>
      </w:pPr>
      <w:r>
        <w:rPr>
          <w:rFonts w:eastAsiaTheme="minorHAnsi"/>
          <w:color w:val="000000"/>
          <w:sz w:val="28"/>
          <w:szCs w:val="28"/>
          <w:lang w:eastAsia="en-US"/>
        </w:rPr>
        <w:t>- иметь представление о том, какие способы и технические средства применяются для нормализации показателей КЭЭ, а также способах управления этими средствами.</w:t>
      </w:r>
    </w:p>
    <w:p w14:paraId="27061337">
      <w:pPr>
        <w:spacing w:line="360" w:lineRule="auto"/>
        <w:ind w:firstLine="709"/>
        <w:jc w:val="both"/>
        <w:rPr>
          <w:sz w:val="28"/>
          <w:szCs w:val="28"/>
        </w:rPr>
      </w:pPr>
      <w:r>
        <w:rPr>
          <w:sz w:val="28"/>
          <w:szCs w:val="28"/>
        </w:rPr>
        <w:t xml:space="preserve">- влияние качества электроэнергии (КЭ) на электроприемники и системы электроснабжения, технологические процессы, объекты систем электроэнергетики; </w:t>
      </w:r>
    </w:p>
    <w:p w14:paraId="2F1BF3F5">
      <w:pPr>
        <w:spacing w:line="360" w:lineRule="auto"/>
        <w:ind w:firstLine="709"/>
        <w:jc w:val="both"/>
        <w:rPr>
          <w:sz w:val="28"/>
          <w:szCs w:val="28"/>
        </w:rPr>
      </w:pPr>
      <w:r>
        <w:rPr>
          <w:sz w:val="28"/>
          <w:szCs w:val="28"/>
        </w:rPr>
        <w:t>- нормирование показателей качества электроэнергии (ПКЭ);</w:t>
      </w:r>
    </w:p>
    <w:p w14:paraId="5E6AC2B6">
      <w:pPr>
        <w:spacing w:line="360" w:lineRule="auto"/>
        <w:ind w:firstLine="709"/>
        <w:jc w:val="both"/>
        <w:rPr>
          <w:sz w:val="28"/>
          <w:szCs w:val="28"/>
        </w:rPr>
      </w:pPr>
      <w:r>
        <w:rPr>
          <w:sz w:val="28"/>
          <w:szCs w:val="28"/>
        </w:rPr>
        <w:t>- принципы и способы управления КЭ, в том числе и вопросы оптимизации КЭ.</w:t>
      </w:r>
    </w:p>
    <w:p w14:paraId="40BCAF9C">
      <w:pPr>
        <w:spacing w:line="360" w:lineRule="auto"/>
        <w:ind w:firstLine="709"/>
        <w:jc w:val="both"/>
        <w:rPr>
          <w:sz w:val="28"/>
          <w:szCs w:val="28"/>
        </w:rPr>
      </w:pPr>
      <w:r>
        <w:rPr>
          <w:sz w:val="28"/>
          <w:szCs w:val="28"/>
        </w:rPr>
        <w:t>- выбирать точки, виды и периодичность контроля качества электроэнергии;</w:t>
      </w:r>
    </w:p>
    <w:p w14:paraId="21A9D84E">
      <w:pPr>
        <w:spacing w:line="360" w:lineRule="auto"/>
        <w:ind w:firstLine="709"/>
        <w:jc w:val="both"/>
        <w:rPr>
          <w:sz w:val="28"/>
          <w:szCs w:val="28"/>
        </w:rPr>
      </w:pPr>
      <w:r>
        <w:rPr>
          <w:sz w:val="28"/>
          <w:szCs w:val="28"/>
        </w:rPr>
        <w:t>- выбирать схему или техническое устройство для нормализации ПКЭ, а также рассчитывать его параметры;</w:t>
      </w:r>
    </w:p>
    <w:p w14:paraId="0BDBD9A4">
      <w:pPr>
        <w:spacing w:line="360" w:lineRule="auto"/>
        <w:ind w:firstLine="709"/>
        <w:jc w:val="both"/>
        <w:rPr>
          <w:sz w:val="28"/>
          <w:szCs w:val="28"/>
        </w:rPr>
      </w:pPr>
      <w:r>
        <w:rPr>
          <w:sz w:val="28"/>
          <w:szCs w:val="28"/>
        </w:rPr>
        <w:t xml:space="preserve">- выбирать оптимальный вариант схемы электроснабжения или электрической сети при наличии источников искажения КЭ; </w:t>
      </w:r>
    </w:p>
    <w:p w14:paraId="0C392FFD">
      <w:pPr>
        <w:spacing w:line="360" w:lineRule="auto"/>
        <w:ind w:firstLine="709"/>
        <w:jc w:val="both"/>
        <w:rPr>
          <w:sz w:val="28"/>
          <w:szCs w:val="28"/>
        </w:rPr>
      </w:pPr>
      <w:r>
        <w:rPr>
          <w:sz w:val="28"/>
          <w:szCs w:val="28"/>
        </w:rPr>
        <w:t xml:space="preserve">- определять ущербы от пониженного качества электроэнергии; </w:t>
      </w:r>
    </w:p>
    <w:p w14:paraId="08F2B45C">
      <w:pPr>
        <w:spacing w:line="360" w:lineRule="auto"/>
        <w:ind w:firstLine="709"/>
        <w:jc w:val="both"/>
        <w:rPr>
          <w:sz w:val="28"/>
          <w:szCs w:val="28"/>
        </w:rPr>
      </w:pPr>
      <w:r>
        <w:rPr>
          <w:sz w:val="28"/>
          <w:szCs w:val="28"/>
        </w:rPr>
        <w:t>- проводить комплексные исследования КЭ и решать вопросы его нормализации для реальных объектов систем электроэнергетики.</w:t>
      </w:r>
    </w:p>
    <w:p w14:paraId="61FDF0C8">
      <w:pPr>
        <w:spacing w:line="360" w:lineRule="auto"/>
        <w:ind w:firstLine="709"/>
        <w:jc w:val="both"/>
        <w:rPr>
          <w:sz w:val="28"/>
          <w:szCs w:val="28"/>
        </w:rPr>
      </w:pPr>
    </w:p>
    <w:p w14:paraId="660B0DCF">
      <w:pPr>
        <w:shd w:val="clear" w:color="auto" w:fill="FFFFFF"/>
        <w:spacing w:line="360" w:lineRule="auto"/>
        <w:jc w:val="center"/>
        <w:rPr>
          <w:b/>
          <w:color w:val="000000"/>
          <w:sz w:val="28"/>
          <w:szCs w:val="28"/>
        </w:rPr>
      </w:pPr>
      <w:r>
        <w:rPr>
          <w:b/>
          <w:color w:val="000000"/>
          <w:sz w:val="28"/>
          <w:szCs w:val="28"/>
        </w:rPr>
        <w:t>Проработка первой темы лекционных и практических занятий по направлению «Электроснабжение инфокоммуникационных систем».</w:t>
      </w:r>
    </w:p>
    <w:p w14:paraId="511DA048">
      <w:pPr>
        <w:shd w:val="clear" w:color="auto" w:fill="FFFFFF"/>
        <w:spacing w:line="360" w:lineRule="auto"/>
        <w:ind w:firstLine="709"/>
        <w:jc w:val="both"/>
        <w:rPr>
          <w:color w:val="000000"/>
          <w:sz w:val="28"/>
          <w:szCs w:val="28"/>
        </w:rPr>
      </w:pPr>
      <w:r>
        <w:rPr>
          <w:color w:val="000000"/>
          <w:sz w:val="28"/>
          <w:szCs w:val="28"/>
        </w:rPr>
        <w:t>1-Тема. Введение в предмет “Электроснабжение инфокоммуникационных систем на базе концепции Smart Grid”. Характеристики, функции и состав источников электрической энергии систем инфокоммуникаций на базе системы концепции Smart Grid.</w:t>
      </w:r>
    </w:p>
    <w:p w14:paraId="789ABB13">
      <w:pPr>
        <w:shd w:val="clear" w:color="auto" w:fill="FFFFFF"/>
        <w:spacing w:line="360" w:lineRule="auto"/>
        <w:ind w:firstLine="709"/>
        <w:jc w:val="both"/>
        <w:rPr>
          <w:color w:val="000000"/>
          <w:sz w:val="28"/>
          <w:szCs w:val="28"/>
        </w:rPr>
      </w:pPr>
      <w:r>
        <w:rPr>
          <w:color w:val="000000"/>
          <w:sz w:val="28"/>
          <w:szCs w:val="28"/>
        </w:rPr>
        <w:t>В процессе лекционного занятия заполнять таблицу ЗХУ, показывающую степень осведомленности и моменты, на которые необходимо обратить внимание и развить знания по неясным вопросам.</w:t>
      </w:r>
    </w:p>
    <w:p w14:paraId="6307CEB2">
      <w:pPr>
        <w:shd w:val="clear" w:color="auto" w:fill="FFFFFF"/>
        <w:spacing w:after="150"/>
        <w:ind w:firstLine="709"/>
        <w:jc w:val="right"/>
        <w:rPr>
          <w:color w:val="000000"/>
          <w:sz w:val="28"/>
          <w:szCs w:val="28"/>
        </w:rPr>
      </w:pPr>
      <w:r>
        <w:rPr>
          <w:color w:val="000000"/>
          <w:sz w:val="28"/>
          <w:szCs w:val="28"/>
        </w:rPr>
        <w:t>Таблица 1.3. ЗХУ</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1"/>
        <w:gridCol w:w="2818"/>
        <w:gridCol w:w="2943"/>
      </w:tblGrid>
      <w:tr w14:paraId="09A5E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D917A2D">
            <w:pPr>
              <w:spacing w:after="150"/>
              <w:jc w:val="center"/>
              <w:rPr>
                <w:color w:val="000000"/>
                <w:sz w:val="28"/>
                <w:szCs w:val="28"/>
              </w:rPr>
            </w:pPr>
            <w:r>
              <w:rPr>
                <w:color w:val="000000"/>
                <w:sz w:val="28"/>
                <w:szCs w:val="28"/>
              </w:rPr>
              <w:t>ЗНАЮ</w:t>
            </w:r>
          </w:p>
        </w:tc>
        <w:tc>
          <w:tcPr>
            <w:tcW w:w="3005" w:type="dxa"/>
            <w:shd w:val="clear" w:color="auto" w:fill="C5E0B3"/>
          </w:tcPr>
          <w:p w14:paraId="1108DF53">
            <w:pPr>
              <w:spacing w:after="150"/>
              <w:jc w:val="center"/>
              <w:rPr>
                <w:color w:val="000000"/>
                <w:sz w:val="28"/>
                <w:szCs w:val="28"/>
              </w:rPr>
            </w:pPr>
            <w:r>
              <w:rPr>
                <w:color w:val="000000"/>
                <w:sz w:val="28"/>
                <w:szCs w:val="28"/>
              </w:rPr>
              <w:t>ХОЧУ УЗНАТЬ</w:t>
            </w:r>
          </w:p>
          <w:p w14:paraId="1C6C37DD">
            <w:pPr>
              <w:spacing w:after="150"/>
              <w:jc w:val="center"/>
              <w:rPr>
                <w:color w:val="000000"/>
                <w:sz w:val="28"/>
                <w:szCs w:val="28"/>
              </w:rPr>
            </w:pPr>
            <w:r>
              <w:rPr>
                <w:color w:val="000000"/>
                <w:sz w:val="28"/>
                <w:szCs w:val="28"/>
              </w:rPr>
              <w:t>(есть проблемы)</w:t>
            </w:r>
          </w:p>
        </w:tc>
        <w:tc>
          <w:tcPr>
            <w:tcW w:w="3199" w:type="dxa"/>
            <w:shd w:val="clear" w:color="auto" w:fill="FFC000"/>
          </w:tcPr>
          <w:p w14:paraId="7EA7E269">
            <w:pPr>
              <w:spacing w:after="150"/>
              <w:jc w:val="center"/>
              <w:rPr>
                <w:color w:val="000000"/>
                <w:sz w:val="28"/>
                <w:szCs w:val="28"/>
              </w:rPr>
            </w:pPr>
            <w:r>
              <w:rPr>
                <w:color w:val="000000"/>
                <w:sz w:val="28"/>
                <w:szCs w:val="28"/>
              </w:rPr>
              <w:t>УЗНАЛ</w:t>
            </w:r>
          </w:p>
        </w:tc>
      </w:tr>
      <w:tr w14:paraId="475B9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BBAD375">
            <w:pPr>
              <w:spacing w:after="150"/>
              <w:jc w:val="both"/>
              <w:rPr>
                <w:color w:val="000000"/>
                <w:sz w:val="28"/>
                <w:szCs w:val="28"/>
              </w:rPr>
            </w:pPr>
          </w:p>
        </w:tc>
        <w:tc>
          <w:tcPr>
            <w:tcW w:w="3005" w:type="dxa"/>
            <w:shd w:val="clear" w:color="auto" w:fill="C5E0B3"/>
          </w:tcPr>
          <w:p w14:paraId="094EFDE2">
            <w:pPr>
              <w:spacing w:after="150"/>
              <w:jc w:val="both"/>
              <w:rPr>
                <w:color w:val="000000"/>
                <w:sz w:val="28"/>
                <w:szCs w:val="28"/>
              </w:rPr>
            </w:pPr>
          </w:p>
        </w:tc>
        <w:tc>
          <w:tcPr>
            <w:tcW w:w="3199" w:type="dxa"/>
            <w:shd w:val="clear" w:color="auto" w:fill="FFC000"/>
          </w:tcPr>
          <w:p w14:paraId="366E7A6E">
            <w:pPr>
              <w:spacing w:after="150"/>
              <w:jc w:val="both"/>
              <w:rPr>
                <w:color w:val="000000"/>
                <w:sz w:val="28"/>
                <w:szCs w:val="28"/>
              </w:rPr>
            </w:pPr>
          </w:p>
        </w:tc>
      </w:tr>
      <w:tr w14:paraId="37739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EF13B4C">
            <w:pPr>
              <w:spacing w:after="150"/>
              <w:jc w:val="both"/>
              <w:rPr>
                <w:color w:val="000000"/>
                <w:sz w:val="28"/>
                <w:szCs w:val="28"/>
              </w:rPr>
            </w:pPr>
          </w:p>
        </w:tc>
        <w:tc>
          <w:tcPr>
            <w:tcW w:w="3005" w:type="dxa"/>
            <w:shd w:val="clear" w:color="auto" w:fill="C5E0B3"/>
          </w:tcPr>
          <w:p w14:paraId="277CA016">
            <w:pPr>
              <w:spacing w:after="150"/>
              <w:jc w:val="both"/>
              <w:rPr>
                <w:color w:val="000000"/>
                <w:sz w:val="28"/>
                <w:szCs w:val="28"/>
              </w:rPr>
            </w:pPr>
          </w:p>
        </w:tc>
        <w:tc>
          <w:tcPr>
            <w:tcW w:w="3199" w:type="dxa"/>
            <w:shd w:val="clear" w:color="auto" w:fill="FFC000"/>
          </w:tcPr>
          <w:p w14:paraId="73163EC9">
            <w:pPr>
              <w:spacing w:after="150"/>
              <w:jc w:val="both"/>
              <w:rPr>
                <w:color w:val="000000"/>
                <w:sz w:val="28"/>
                <w:szCs w:val="28"/>
              </w:rPr>
            </w:pPr>
          </w:p>
        </w:tc>
      </w:tr>
      <w:tr w14:paraId="3A7C7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8EFC063">
            <w:pPr>
              <w:spacing w:after="150"/>
              <w:jc w:val="both"/>
              <w:rPr>
                <w:color w:val="000000"/>
                <w:sz w:val="28"/>
                <w:szCs w:val="28"/>
              </w:rPr>
            </w:pPr>
          </w:p>
        </w:tc>
        <w:tc>
          <w:tcPr>
            <w:tcW w:w="3005" w:type="dxa"/>
            <w:shd w:val="clear" w:color="auto" w:fill="C5E0B3"/>
          </w:tcPr>
          <w:p w14:paraId="50B48DB3">
            <w:pPr>
              <w:spacing w:after="150"/>
              <w:jc w:val="both"/>
              <w:rPr>
                <w:color w:val="000000"/>
                <w:sz w:val="28"/>
                <w:szCs w:val="28"/>
              </w:rPr>
            </w:pPr>
          </w:p>
        </w:tc>
        <w:tc>
          <w:tcPr>
            <w:tcW w:w="3199" w:type="dxa"/>
            <w:shd w:val="clear" w:color="auto" w:fill="FFC000"/>
          </w:tcPr>
          <w:p w14:paraId="39ACEFE8">
            <w:pPr>
              <w:spacing w:after="150"/>
              <w:jc w:val="both"/>
              <w:rPr>
                <w:color w:val="000000"/>
                <w:sz w:val="28"/>
                <w:szCs w:val="28"/>
              </w:rPr>
            </w:pPr>
          </w:p>
        </w:tc>
      </w:tr>
      <w:tr w14:paraId="3BA6D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3C75B87">
            <w:pPr>
              <w:spacing w:after="150"/>
              <w:jc w:val="both"/>
              <w:rPr>
                <w:color w:val="000000"/>
                <w:sz w:val="28"/>
                <w:szCs w:val="28"/>
              </w:rPr>
            </w:pPr>
          </w:p>
        </w:tc>
        <w:tc>
          <w:tcPr>
            <w:tcW w:w="3005" w:type="dxa"/>
            <w:shd w:val="clear" w:color="auto" w:fill="C5E0B3"/>
          </w:tcPr>
          <w:p w14:paraId="220F241C">
            <w:pPr>
              <w:spacing w:after="150"/>
              <w:jc w:val="both"/>
              <w:rPr>
                <w:color w:val="000000"/>
                <w:sz w:val="28"/>
                <w:szCs w:val="28"/>
              </w:rPr>
            </w:pPr>
          </w:p>
        </w:tc>
        <w:tc>
          <w:tcPr>
            <w:tcW w:w="3199" w:type="dxa"/>
            <w:shd w:val="clear" w:color="auto" w:fill="FFC000"/>
          </w:tcPr>
          <w:p w14:paraId="39E90663">
            <w:pPr>
              <w:spacing w:after="150"/>
              <w:jc w:val="both"/>
              <w:rPr>
                <w:color w:val="000000"/>
                <w:sz w:val="28"/>
                <w:szCs w:val="28"/>
              </w:rPr>
            </w:pPr>
          </w:p>
        </w:tc>
      </w:tr>
      <w:tr w14:paraId="7A1D6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9AC6FA0">
            <w:pPr>
              <w:spacing w:after="150"/>
              <w:jc w:val="both"/>
              <w:rPr>
                <w:color w:val="000000"/>
                <w:sz w:val="28"/>
                <w:szCs w:val="28"/>
              </w:rPr>
            </w:pPr>
          </w:p>
        </w:tc>
        <w:tc>
          <w:tcPr>
            <w:tcW w:w="3005" w:type="dxa"/>
            <w:shd w:val="clear" w:color="auto" w:fill="C5E0B3"/>
          </w:tcPr>
          <w:p w14:paraId="37430E50">
            <w:pPr>
              <w:spacing w:after="150"/>
              <w:jc w:val="both"/>
              <w:rPr>
                <w:color w:val="000000"/>
                <w:sz w:val="28"/>
                <w:szCs w:val="28"/>
              </w:rPr>
            </w:pPr>
          </w:p>
        </w:tc>
        <w:tc>
          <w:tcPr>
            <w:tcW w:w="3199" w:type="dxa"/>
            <w:shd w:val="clear" w:color="auto" w:fill="FFC000"/>
          </w:tcPr>
          <w:p w14:paraId="2288EDF4">
            <w:pPr>
              <w:spacing w:after="150"/>
              <w:jc w:val="both"/>
              <w:rPr>
                <w:color w:val="000000"/>
                <w:sz w:val="28"/>
                <w:szCs w:val="28"/>
              </w:rPr>
            </w:pPr>
          </w:p>
        </w:tc>
      </w:tr>
      <w:tr w14:paraId="73F8F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56FE3B7">
            <w:pPr>
              <w:spacing w:after="150"/>
              <w:jc w:val="both"/>
              <w:rPr>
                <w:color w:val="000000"/>
                <w:sz w:val="28"/>
                <w:szCs w:val="28"/>
              </w:rPr>
            </w:pPr>
          </w:p>
        </w:tc>
        <w:tc>
          <w:tcPr>
            <w:tcW w:w="3005" w:type="dxa"/>
            <w:shd w:val="clear" w:color="auto" w:fill="C5E0B3"/>
          </w:tcPr>
          <w:p w14:paraId="407FB707">
            <w:pPr>
              <w:spacing w:after="150"/>
              <w:jc w:val="both"/>
              <w:rPr>
                <w:color w:val="000000"/>
                <w:sz w:val="28"/>
                <w:szCs w:val="28"/>
              </w:rPr>
            </w:pPr>
          </w:p>
        </w:tc>
        <w:tc>
          <w:tcPr>
            <w:tcW w:w="3199" w:type="dxa"/>
            <w:shd w:val="clear" w:color="auto" w:fill="FFC000"/>
          </w:tcPr>
          <w:p w14:paraId="7E9D4F52">
            <w:pPr>
              <w:spacing w:after="150"/>
              <w:jc w:val="both"/>
              <w:rPr>
                <w:color w:val="000000"/>
                <w:sz w:val="28"/>
                <w:szCs w:val="28"/>
              </w:rPr>
            </w:pPr>
          </w:p>
        </w:tc>
      </w:tr>
      <w:tr w14:paraId="047CD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21FAD3F">
            <w:pPr>
              <w:spacing w:after="150"/>
              <w:jc w:val="both"/>
              <w:rPr>
                <w:color w:val="000000"/>
                <w:sz w:val="28"/>
                <w:szCs w:val="28"/>
              </w:rPr>
            </w:pPr>
          </w:p>
        </w:tc>
        <w:tc>
          <w:tcPr>
            <w:tcW w:w="3005" w:type="dxa"/>
            <w:shd w:val="clear" w:color="auto" w:fill="C5E0B3"/>
          </w:tcPr>
          <w:p w14:paraId="04461199">
            <w:pPr>
              <w:spacing w:after="150"/>
              <w:jc w:val="both"/>
              <w:rPr>
                <w:color w:val="000000"/>
                <w:sz w:val="28"/>
                <w:szCs w:val="28"/>
              </w:rPr>
            </w:pPr>
          </w:p>
        </w:tc>
        <w:tc>
          <w:tcPr>
            <w:tcW w:w="3199" w:type="dxa"/>
            <w:shd w:val="clear" w:color="auto" w:fill="FFC000"/>
          </w:tcPr>
          <w:p w14:paraId="0F1DC78B">
            <w:pPr>
              <w:spacing w:after="150"/>
              <w:jc w:val="both"/>
              <w:rPr>
                <w:color w:val="000000"/>
                <w:sz w:val="28"/>
                <w:szCs w:val="28"/>
              </w:rPr>
            </w:pPr>
          </w:p>
        </w:tc>
      </w:tr>
      <w:tr w14:paraId="01B80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39F6D2A">
            <w:pPr>
              <w:spacing w:after="150"/>
              <w:jc w:val="both"/>
              <w:rPr>
                <w:color w:val="000000"/>
                <w:sz w:val="28"/>
                <w:szCs w:val="28"/>
              </w:rPr>
            </w:pPr>
          </w:p>
        </w:tc>
        <w:tc>
          <w:tcPr>
            <w:tcW w:w="3005" w:type="dxa"/>
            <w:shd w:val="clear" w:color="auto" w:fill="C5E0B3"/>
          </w:tcPr>
          <w:p w14:paraId="562BB840">
            <w:pPr>
              <w:spacing w:after="150"/>
              <w:jc w:val="both"/>
              <w:rPr>
                <w:color w:val="000000"/>
                <w:sz w:val="28"/>
                <w:szCs w:val="28"/>
              </w:rPr>
            </w:pPr>
          </w:p>
        </w:tc>
        <w:tc>
          <w:tcPr>
            <w:tcW w:w="3199" w:type="dxa"/>
            <w:shd w:val="clear" w:color="auto" w:fill="FFC000"/>
          </w:tcPr>
          <w:p w14:paraId="664860D7">
            <w:pPr>
              <w:spacing w:after="150"/>
              <w:jc w:val="both"/>
              <w:rPr>
                <w:color w:val="000000"/>
                <w:sz w:val="28"/>
                <w:szCs w:val="28"/>
              </w:rPr>
            </w:pPr>
          </w:p>
        </w:tc>
      </w:tr>
      <w:tr w14:paraId="52A97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AE60A47">
            <w:pPr>
              <w:spacing w:after="150"/>
              <w:jc w:val="both"/>
              <w:rPr>
                <w:color w:val="000000"/>
                <w:sz w:val="28"/>
                <w:szCs w:val="28"/>
              </w:rPr>
            </w:pPr>
          </w:p>
        </w:tc>
        <w:tc>
          <w:tcPr>
            <w:tcW w:w="3005" w:type="dxa"/>
            <w:shd w:val="clear" w:color="auto" w:fill="C5E0B3"/>
          </w:tcPr>
          <w:p w14:paraId="3624F154">
            <w:pPr>
              <w:spacing w:after="150"/>
              <w:jc w:val="both"/>
              <w:rPr>
                <w:color w:val="000000"/>
                <w:sz w:val="28"/>
                <w:szCs w:val="28"/>
              </w:rPr>
            </w:pPr>
          </w:p>
        </w:tc>
        <w:tc>
          <w:tcPr>
            <w:tcW w:w="3199" w:type="dxa"/>
            <w:shd w:val="clear" w:color="auto" w:fill="FFC000"/>
          </w:tcPr>
          <w:p w14:paraId="424B0271">
            <w:pPr>
              <w:spacing w:after="150"/>
              <w:jc w:val="both"/>
              <w:rPr>
                <w:color w:val="000000"/>
                <w:sz w:val="28"/>
                <w:szCs w:val="28"/>
              </w:rPr>
            </w:pPr>
          </w:p>
        </w:tc>
      </w:tr>
      <w:tr w14:paraId="0D520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A90E7B3">
            <w:pPr>
              <w:spacing w:after="150"/>
              <w:jc w:val="both"/>
              <w:rPr>
                <w:color w:val="000000"/>
                <w:sz w:val="28"/>
                <w:szCs w:val="28"/>
              </w:rPr>
            </w:pPr>
          </w:p>
        </w:tc>
        <w:tc>
          <w:tcPr>
            <w:tcW w:w="3005" w:type="dxa"/>
            <w:shd w:val="clear" w:color="auto" w:fill="C5E0B3"/>
          </w:tcPr>
          <w:p w14:paraId="3415A26F">
            <w:pPr>
              <w:spacing w:after="150"/>
              <w:jc w:val="both"/>
              <w:rPr>
                <w:color w:val="000000"/>
                <w:sz w:val="28"/>
                <w:szCs w:val="28"/>
              </w:rPr>
            </w:pPr>
          </w:p>
        </w:tc>
        <w:tc>
          <w:tcPr>
            <w:tcW w:w="3199" w:type="dxa"/>
            <w:shd w:val="clear" w:color="auto" w:fill="FFC000"/>
          </w:tcPr>
          <w:p w14:paraId="3D053F16">
            <w:pPr>
              <w:spacing w:after="150"/>
              <w:jc w:val="both"/>
              <w:rPr>
                <w:color w:val="000000"/>
                <w:sz w:val="28"/>
                <w:szCs w:val="28"/>
              </w:rPr>
            </w:pPr>
          </w:p>
        </w:tc>
      </w:tr>
      <w:tr w14:paraId="66171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E40CF87">
            <w:pPr>
              <w:spacing w:after="150"/>
              <w:jc w:val="both"/>
              <w:rPr>
                <w:color w:val="000000"/>
                <w:sz w:val="28"/>
                <w:szCs w:val="28"/>
              </w:rPr>
            </w:pPr>
          </w:p>
        </w:tc>
        <w:tc>
          <w:tcPr>
            <w:tcW w:w="3005" w:type="dxa"/>
            <w:shd w:val="clear" w:color="auto" w:fill="C5E0B3"/>
          </w:tcPr>
          <w:p w14:paraId="37663BF8">
            <w:pPr>
              <w:spacing w:after="150"/>
              <w:jc w:val="both"/>
              <w:rPr>
                <w:color w:val="000000"/>
                <w:sz w:val="28"/>
                <w:szCs w:val="28"/>
              </w:rPr>
            </w:pPr>
          </w:p>
        </w:tc>
        <w:tc>
          <w:tcPr>
            <w:tcW w:w="3199" w:type="dxa"/>
            <w:shd w:val="clear" w:color="auto" w:fill="FFC000"/>
          </w:tcPr>
          <w:p w14:paraId="68176F56">
            <w:pPr>
              <w:spacing w:after="150"/>
              <w:jc w:val="both"/>
              <w:rPr>
                <w:color w:val="000000"/>
                <w:sz w:val="28"/>
                <w:szCs w:val="28"/>
              </w:rPr>
            </w:pPr>
          </w:p>
        </w:tc>
      </w:tr>
      <w:tr w14:paraId="2DBE5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E3562C7">
            <w:pPr>
              <w:spacing w:after="150"/>
              <w:jc w:val="both"/>
              <w:rPr>
                <w:color w:val="000000"/>
                <w:sz w:val="28"/>
                <w:szCs w:val="28"/>
              </w:rPr>
            </w:pPr>
          </w:p>
        </w:tc>
        <w:tc>
          <w:tcPr>
            <w:tcW w:w="3005" w:type="dxa"/>
            <w:shd w:val="clear" w:color="auto" w:fill="C5E0B3"/>
          </w:tcPr>
          <w:p w14:paraId="011B288A">
            <w:pPr>
              <w:spacing w:after="150"/>
              <w:jc w:val="both"/>
              <w:rPr>
                <w:color w:val="000000"/>
                <w:sz w:val="28"/>
                <w:szCs w:val="28"/>
              </w:rPr>
            </w:pPr>
          </w:p>
        </w:tc>
        <w:tc>
          <w:tcPr>
            <w:tcW w:w="3199" w:type="dxa"/>
            <w:shd w:val="clear" w:color="auto" w:fill="FFC000"/>
          </w:tcPr>
          <w:p w14:paraId="09EEEB1C">
            <w:pPr>
              <w:spacing w:after="150"/>
              <w:jc w:val="both"/>
              <w:rPr>
                <w:color w:val="000000"/>
                <w:sz w:val="28"/>
                <w:szCs w:val="28"/>
              </w:rPr>
            </w:pPr>
          </w:p>
        </w:tc>
      </w:tr>
      <w:tr w14:paraId="49618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9C675AB">
            <w:pPr>
              <w:spacing w:after="150"/>
              <w:jc w:val="both"/>
              <w:rPr>
                <w:color w:val="000000"/>
                <w:sz w:val="28"/>
                <w:szCs w:val="28"/>
              </w:rPr>
            </w:pPr>
          </w:p>
        </w:tc>
        <w:tc>
          <w:tcPr>
            <w:tcW w:w="3005" w:type="dxa"/>
            <w:shd w:val="clear" w:color="auto" w:fill="C5E0B3"/>
          </w:tcPr>
          <w:p w14:paraId="4D9D2BDA">
            <w:pPr>
              <w:spacing w:after="150"/>
              <w:jc w:val="both"/>
              <w:rPr>
                <w:color w:val="000000"/>
                <w:sz w:val="28"/>
                <w:szCs w:val="28"/>
              </w:rPr>
            </w:pPr>
          </w:p>
        </w:tc>
        <w:tc>
          <w:tcPr>
            <w:tcW w:w="3199" w:type="dxa"/>
            <w:shd w:val="clear" w:color="auto" w:fill="FFC000"/>
          </w:tcPr>
          <w:p w14:paraId="21A81CB2">
            <w:pPr>
              <w:spacing w:after="150"/>
              <w:jc w:val="both"/>
              <w:rPr>
                <w:color w:val="000000"/>
                <w:sz w:val="28"/>
                <w:szCs w:val="28"/>
              </w:rPr>
            </w:pPr>
          </w:p>
        </w:tc>
      </w:tr>
      <w:tr w14:paraId="10745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E35F3A8">
            <w:pPr>
              <w:spacing w:after="150"/>
              <w:jc w:val="both"/>
              <w:rPr>
                <w:color w:val="000000"/>
                <w:sz w:val="28"/>
                <w:szCs w:val="28"/>
              </w:rPr>
            </w:pPr>
          </w:p>
        </w:tc>
        <w:tc>
          <w:tcPr>
            <w:tcW w:w="3005" w:type="dxa"/>
            <w:shd w:val="clear" w:color="auto" w:fill="C5E0B3"/>
          </w:tcPr>
          <w:p w14:paraId="36D143E8">
            <w:pPr>
              <w:spacing w:after="150"/>
              <w:jc w:val="both"/>
              <w:rPr>
                <w:color w:val="000000"/>
                <w:sz w:val="28"/>
                <w:szCs w:val="28"/>
              </w:rPr>
            </w:pPr>
          </w:p>
        </w:tc>
        <w:tc>
          <w:tcPr>
            <w:tcW w:w="3199" w:type="dxa"/>
            <w:shd w:val="clear" w:color="auto" w:fill="FFC000"/>
          </w:tcPr>
          <w:p w14:paraId="1526E6E3">
            <w:pPr>
              <w:spacing w:after="150"/>
              <w:jc w:val="both"/>
              <w:rPr>
                <w:color w:val="000000"/>
                <w:sz w:val="28"/>
                <w:szCs w:val="28"/>
              </w:rPr>
            </w:pPr>
          </w:p>
        </w:tc>
      </w:tr>
      <w:tr w14:paraId="4C9BF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9414DFD">
            <w:pPr>
              <w:spacing w:after="150"/>
              <w:jc w:val="both"/>
              <w:rPr>
                <w:color w:val="000000"/>
                <w:sz w:val="28"/>
                <w:szCs w:val="28"/>
              </w:rPr>
            </w:pPr>
          </w:p>
        </w:tc>
        <w:tc>
          <w:tcPr>
            <w:tcW w:w="3005" w:type="dxa"/>
            <w:shd w:val="clear" w:color="auto" w:fill="C5E0B3"/>
          </w:tcPr>
          <w:p w14:paraId="3959B6AE">
            <w:pPr>
              <w:spacing w:after="150"/>
              <w:jc w:val="both"/>
              <w:rPr>
                <w:color w:val="000000"/>
                <w:sz w:val="28"/>
                <w:szCs w:val="28"/>
              </w:rPr>
            </w:pPr>
          </w:p>
        </w:tc>
        <w:tc>
          <w:tcPr>
            <w:tcW w:w="3199" w:type="dxa"/>
            <w:shd w:val="clear" w:color="auto" w:fill="FFC000"/>
          </w:tcPr>
          <w:p w14:paraId="41C20DE6">
            <w:pPr>
              <w:spacing w:after="150"/>
              <w:jc w:val="both"/>
              <w:rPr>
                <w:color w:val="000000"/>
                <w:sz w:val="28"/>
                <w:szCs w:val="28"/>
              </w:rPr>
            </w:pPr>
          </w:p>
        </w:tc>
      </w:tr>
      <w:tr w14:paraId="4D21A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77E8AEE">
            <w:pPr>
              <w:spacing w:after="150"/>
              <w:jc w:val="both"/>
              <w:rPr>
                <w:color w:val="000000"/>
                <w:sz w:val="28"/>
                <w:szCs w:val="28"/>
              </w:rPr>
            </w:pPr>
          </w:p>
        </w:tc>
        <w:tc>
          <w:tcPr>
            <w:tcW w:w="3005" w:type="dxa"/>
            <w:shd w:val="clear" w:color="auto" w:fill="C5E0B3"/>
          </w:tcPr>
          <w:p w14:paraId="6CA4828F">
            <w:pPr>
              <w:spacing w:after="150"/>
              <w:jc w:val="both"/>
              <w:rPr>
                <w:color w:val="000000"/>
                <w:sz w:val="28"/>
                <w:szCs w:val="28"/>
              </w:rPr>
            </w:pPr>
          </w:p>
        </w:tc>
        <w:tc>
          <w:tcPr>
            <w:tcW w:w="3199" w:type="dxa"/>
            <w:shd w:val="clear" w:color="auto" w:fill="FFC000"/>
          </w:tcPr>
          <w:p w14:paraId="7E318754">
            <w:pPr>
              <w:spacing w:after="150"/>
              <w:jc w:val="both"/>
              <w:rPr>
                <w:color w:val="000000"/>
                <w:sz w:val="28"/>
                <w:szCs w:val="28"/>
              </w:rPr>
            </w:pPr>
          </w:p>
        </w:tc>
      </w:tr>
      <w:tr w14:paraId="0549F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F991255">
            <w:pPr>
              <w:spacing w:after="150"/>
              <w:jc w:val="both"/>
              <w:rPr>
                <w:color w:val="000000"/>
                <w:sz w:val="28"/>
                <w:szCs w:val="28"/>
              </w:rPr>
            </w:pPr>
          </w:p>
        </w:tc>
        <w:tc>
          <w:tcPr>
            <w:tcW w:w="3005" w:type="dxa"/>
            <w:shd w:val="clear" w:color="auto" w:fill="C5E0B3"/>
          </w:tcPr>
          <w:p w14:paraId="4E610D50">
            <w:pPr>
              <w:spacing w:after="150"/>
              <w:jc w:val="both"/>
              <w:rPr>
                <w:color w:val="000000"/>
                <w:sz w:val="28"/>
                <w:szCs w:val="28"/>
              </w:rPr>
            </w:pPr>
          </w:p>
        </w:tc>
        <w:tc>
          <w:tcPr>
            <w:tcW w:w="3199" w:type="dxa"/>
            <w:shd w:val="clear" w:color="auto" w:fill="FFC000"/>
          </w:tcPr>
          <w:p w14:paraId="7C488602">
            <w:pPr>
              <w:spacing w:after="150"/>
              <w:jc w:val="both"/>
              <w:rPr>
                <w:color w:val="000000"/>
                <w:sz w:val="28"/>
                <w:szCs w:val="28"/>
              </w:rPr>
            </w:pPr>
          </w:p>
        </w:tc>
      </w:tr>
      <w:tr w14:paraId="5E16F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1157AD5">
            <w:pPr>
              <w:spacing w:after="150"/>
              <w:jc w:val="both"/>
              <w:rPr>
                <w:color w:val="000000"/>
                <w:sz w:val="28"/>
                <w:szCs w:val="28"/>
              </w:rPr>
            </w:pPr>
          </w:p>
        </w:tc>
        <w:tc>
          <w:tcPr>
            <w:tcW w:w="3005" w:type="dxa"/>
            <w:shd w:val="clear" w:color="auto" w:fill="C5E0B3"/>
          </w:tcPr>
          <w:p w14:paraId="3015E817">
            <w:pPr>
              <w:spacing w:after="150"/>
              <w:jc w:val="both"/>
              <w:rPr>
                <w:color w:val="000000"/>
                <w:sz w:val="28"/>
                <w:szCs w:val="28"/>
              </w:rPr>
            </w:pPr>
          </w:p>
        </w:tc>
        <w:tc>
          <w:tcPr>
            <w:tcW w:w="3199" w:type="dxa"/>
            <w:shd w:val="clear" w:color="auto" w:fill="FFC000"/>
          </w:tcPr>
          <w:p w14:paraId="5375825D">
            <w:pPr>
              <w:spacing w:after="150"/>
              <w:jc w:val="both"/>
              <w:rPr>
                <w:color w:val="000000"/>
                <w:sz w:val="28"/>
                <w:szCs w:val="28"/>
              </w:rPr>
            </w:pPr>
          </w:p>
        </w:tc>
      </w:tr>
      <w:tr w14:paraId="4EBFA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31F9C44">
            <w:pPr>
              <w:spacing w:after="150"/>
              <w:jc w:val="both"/>
              <w:rPr>
                <w:color w:val="000000"/>
                <w:sz w:val="28"/>
                <w:szCs w:val="28"/>
              </w:rPr>
            </w:pPr>
          </w:p>
        </w:tc>
        <w:tc>
          <w:tcPr>
            <w:tcW w:w="3005" w:type="dxa"/>
            <w:shd w:val="clear" w:color="auto" w:fill="C5E0B3"/>
          </w:tcPr>
          <w:p w14:paraId="5EBAAE99">
            <w:pPr>
              <w:spacing w:after="150"/>
              <w:jc w:val="both"/>
              <w:rPr>
                <w:color w:val="000000"/>
                <w:sz w:val="28"/>
                <w:szCs w:val="28"/>
              </w:rPr>
            </w:pPr>
          </w:p>
        </w:tc>
        <w:tc>
          <w:tcPr>
            <w:tcW w:w="3199" w:type="dxa"/>
            <w:shd w:val="clear" w:color="auto" w:fill="FFC000"/>
          </w:tcPr>
          <w:p w14:paraId="3AC911E1">
            <w:pPr>
              <w:spacing w:after="150"/>
              <w:jc w:val="both"/>
              <w:rPr>
                <w:color w:val="000000"/>
                <w:sz w:val="28"/>
                <w:szCs w:val="28"/>
              </w:rPr>
            </w:pPr>
          </w:p>
        </w:tc>
      </w:tr>
    </w:tbl>
    <w:p w14:paraId="2AC53B5A">
      <w:pPr>
        <w:shd w:val="clear" w:color="auto" w:fill="FFFFFF"/>
        <w:spacing w:after="150"/>
        <w:jc w:val="center"/>
        <w:rPr>
          <w:color w:val="000000"/>
          <w:sz w:val="28"/>
          <w:szCs w:val="28"/>
        </w:rPr>
      </w:pPr>
      <w:r>
        <w:rPr>
          <w:b/>
          <w:bCs/>
          <w:color w:val="000000"/>
          <w:sz w:val="28"/>
          <w:szCs w:val="28"/>
        </w:rPr>
        <w:t>Ответьте на вопрос:</w:t>
      </w:r>
    </w:p>
    <w:p w14:paraId="6B82BE0A">
      <w:pPr>
        <w:shd w:val="clear" w:color="auto" w:fill="FFFFFF"/>
        <w:spacing w:after="150"/>
        <w:jc w:val="center"/>
        <w:rPr>
          <w:b/>
          <w:color w:val="000000"/>
          <w:sz w:val="28"/>
          <w:szCs w:val="28"/>
        </w:rPr>
      </w:pPr>
      <w:r>
        <w:rPr>
          <w:b/>
          <w:color w:val="000000"/>
          <w:sz w:val="28"/>
          <w:szCs w:val="28"/>
        </w:rPr>
        <w:t>1.1. В чем состоят достоинства и недостатки одиночной электростанции перед энергосистемой (заполнить таблицу)?</w:t>
      </w:r>
    </w:p>
    <w:p w14:paraId="11C17761">
      <w:pPr>
        <w:shd w:val="clear" w:color="auto" w:fill="FFFFFF"/>
        <w:spacing w:after="150"/>
        <w:jc w:val="right"/>
        <w:rPr>
          <w:color w:val="000000"/>
          <w:sz w:val="28"/>
          <w:szCs w:val="28"/>
        </w:rPr>
      </w:pPr>
      <w:r>
        <w:rPr>
          <w:color w:val="000000"/>
          <w:sz w:val="28"/>
          <w:szCs w:val="28"/>
        </w:rPr>
        <w:t xml:space="preserve">Таблица 1.4. </w:t>
      </w:r>
    </w:p>
    <w:tbl>
      <w:tblPr>
        <w:tblStyle w:val="3"/>
        <w:tblW w:w="9585" w:type="dxa"/>
        <w:tblInd w:w="0" w:type="dxa"/>
        <w:shd w:val="clear" w:color="auto" w:fill="FFFFFF"/>
        <w:tblLayout w:type="autofit"/>
        <w:tblCellMar>
          <w:top w:w="84" w:type="dxa"/>
          <w:left w:w="84" w:type="dxa"/>
          <w:bottom w:w="84" w:type="dxa"/>
          <w:right w:w="84" w:type="dxa"/>
        </w:tblCellMar>
      </w:tblPr>
      <w:tblGrid>
        <w:gridCol w:w="2266"/>
        <w:gridCol w:w="2518"/>
        <w:gridCol w:w="2345"/>
        <w:gridCol w:w="2456"/>
      </w:tblGrid>
      <w:tr w14:paraId="16EA656E">
        <w:tblPrEx>
          <w:shd w:val="clear" w:color="auto" w:fill="FFFFFF"/>
          <w:tblCellMar>
            <w:top w:w="84" w:type="dxa"/>
            <w:left w:w="84" w:type="dxa"/>
            <w:bottom w:w="84" w:type="dxa"/>
            <w:right w:w="84" w:type="dxa"/>
          </w:tblCellMar>
        </w:tblPrEx>
        <w:tc>
          <w:tcPr>
            <w:tcW w:w="4560" w:type="dxa"/>
            <w:gridSpan w:val="2"/>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460D6D86">
            <w:pPr>
              <w:spacing w:after="150"/>
              <w:jc w:val="center"/>
              <w:rPr>
                <w:color w:val="000000"/>
                <w:sz w:val="28"/>
                <w:szCs w:val="28"/>
              </w:rPr>
            </w:pPr>
            <w:r>
              <w:rPr>
                <w:color w:val="000000"/>
                <w:sz w:val="28"/>
                <w:szCs w:val="28"/>
              </w:rPr>
              <w:t>Электростанция</w:t>
            </w:r>
          </w:p>
        </w:tc>
        <w:tc>
          <w:tcPr>
            <w:tcW w:w="4575" w:type="dxa"/>
            <w:gridSpan w:val="2"/>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0C2F8ABE">
            <w:pPr>
              <w:spacing w:after="150"/>
              <w:jc w:val="center"/>
              <w:rPr>
                <w:color w:val="000000"/>
                <w:sz w:val="28"/>
                <w:szCs w:val="28"/>
              </w:rPr>
            </w:pPr>
            <w:r>
              <w:rPr>
                <w:color w:val="000000"/>
                <w:sz w:val="28"/>
                <w:szCs w:val="28"/>
              </w:rPr>
              <w:t>Энергосистема</w:t>
            </w:r>
          </w:p>
        </w:tc>
      </w:tr>
      <w:tr w14:paraId="70653A43">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3941EE99">
            <w:pPr>
              <w:spacing w:after="150"/>
              <w:jc w:val="center"/>
              <w:rPr>
                <w:color w:val="000000"/>
                <w:sz w:val="28"/>
                <w:szCs w:val="28"/>
              </w:rPr>
            </w:pPr>
            <w:r>
              <w:rPr>
                <w:color w:val="000000"/>
                <w:sz w:val="28"/>
                <w:szCs w:val="28"/>
              </w:rPr>
              <w:t>Достоинства</w:t>
            </w: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316B41EB">
            <w:pPr>
              <w:spacing w:after="150"/>
              <w:jc w:val="center"/>
              <w:rPr>
                <w:color w:val="000000"/>
                <w:sz w:val="28"/>
                <w:szCs w:val="28"/>
              </w:rPr>
            </w:pPr>
            <w:r>
              <w:rPr>
                <w:color w:val="000000"/>
                <w:sz w:val="28"/>
                <w:szCs w:val="28"/>
              </w:rPr>
              <w:t>Недостатки</w:t>
            </w: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7ACCA225">
            <w:pPr>
              <w:spacing w:after="150"/>
              <w:jc w:val="center"/>
              <w:rPr>
                <w:color w:val="000000"/>
                <w:sz w:val="28"/>
                <w:szCs w:val="28"/>
              </w:rPr>
            </w:pPr>
            <w:r>
              <w:rPr>
                <w:color w:val="000000"/>
                <w:sz w:val="28"/>
                <w:szCs w:val="28"/>
              </w:rPr>
              <w:t>Достоинства</w:t>
            </w:r>
          </w:p>
          <w:p w14:paraId="1775541D">
            <w:pPr>
              <w:spacing w:after="150"/>
              <w:jc w:val="center"/>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0B289AF4">
            <w:pPr>
              <w:spacing w:after="150"/>
              <w:jc w:val="center"/>
              <w:rPr>
                <w:color w:val="000000"/>
                <w:sz w:val="28"/>
                <w:szCs w:val="28"/>
              </w:rPr>
            </w:pPr>
            <w:r>
              <w:rPr>
                <w:color w:val="000000"/>
                <w:sz w:val="28"/>
                <w:szCs w:val="28"/>
              </w:rPr>
              <w:t>Недостатки</w:t>
            </w:r>
          </w:p>
          <w:p w14:paraId="2FCD41E2">
            <w:pPr>
              <w:spacing w:after="150"/>
              <w:jc w:val="center"/>
              <w:rPr>
                <w:color w:val="000000"/>
                <w:sz w:val="28"/>
                <w:szCs w:val="28"/>
              </w:rPr>
            </w:pPr>
          </w:p>
        </w:tc>
      </w:tr>
      <w:tr w14:paraId="090493E0">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76792142">
            <w:pPr>
              <w:spacing w:after="150"/>
              <w:rPr>
                <w:color w:val="000000"/>
                <w:sz w:val="28"/>
                <w:szCs w:val="28"/>
              </w:rPr>
            </w:pP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1FFDEA2C">
            <w:pPr>
              <w:spacing w:after="150"/>
              <w:rPr>
                <w:color w:val="000000"/>
                <w:sz w:val="28"/>
                <w:szCs w:val="28"/>
              </w:rPr>
            </w:pP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6B0D63F0">
            <w:pPr>
              <w:spacing w:after="150"/>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7BBFD2BD">
            <w:pPr>
              <w:spacing w:after="150"/>
              <w:rPr>
                <w:color w:val="000000"/>
                <w:sz w:val="28"/>
                <w:szCs w:val="28"/>
              </w:rPr>
            </w:pPr>
          </w:p>
        </w:tc>
      </w:tr>
      <w:tr w14:paraId="6BBDD411">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0FA9AB8E">
            <w:pPr>
              <w:spacing w:after="150"/>
              <w:rPr>
                <w:color w:val="000000"/>
                <w:sz w:val="28"/>
                <w:szCs w:val="28"/>
              </w:rPr>
            </w:pP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7B271C62">
            <w:pPr>
              <w:spacing w:after="150"/>
              <w:rPr>
                <w:color w:val="000000"/>
                <w:sz w:val="28"/>
                <w:szCs w:val="28"/>
              </w:rPr>
            </w:pP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2678C57A">
            <w:pPr>
              <w:spacing w:after="150"/>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023CA620">
            <w:pPr>
              <w:spacing w:after="150"/>
              <w:rPr>
                <w:color w:val="000000"/>
                <w:sz w:val="28"/>
                <w:szCs w:val="28"/>
              </w:rPr>
            </w:pPr>
          </w:p>
        </w:tc>
      </w:tr>
      <w:tr w14:paraId="304ED484">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6C7D8417">
            <w:pPr>
              <w:spacing w:after="150"/>
              <w:rPr>
                <w:color w:val="000000"/>
                <w:sz w:val="28"/>
                <w:szCs w:val="28"/>
              </w:rPr>
            </w:pP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26415720">
            <w:pPr>
              <w:spacing w:after="150"/>
              <w:rPr>
                <w:color w:val="000000"/>
                <w:sz w:val="28"/>
                <w:szCs w:val="28"/>
              </w:rPr>
            </w:pP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33B82857">
            <w:pPr>
              <w:spacing w:after="150"/>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3AF0508C">
            <w:pPr>
              <w:spacing w:after="150"/>
              <w:rPr>
                <w:color w:val="000000"/>
                <w:sz w:val="28"/>
                <w:szCs w:val="28"/>
              </w:rPr>
            </w:pPr>
          </w:p>
        </w:tc>
      </w:tr>
      <w:tr w14:paraId="54BAAEED">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5B3B94A2">
            <w:pPr>
              <w:spacing w:after="150"/>
              <w:rPr>
                <w:color w:val="000000"/>
                <w:sz w:val="28"/>
                <w:szCs w:val="28"/>
              </w:rPr>
            </w:pP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17C1EC09">
            <w:pPr>
              <w:spacing w:after="150"/>
              <w:rPr>
                <w:color w:val="000000"/>
                <w:sz w:val="28"/>
                <w:szCs w:val="28"/>
              </w:rPr>
            </w:pP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0588DF4D">
            <w:pPr>
              <w:spacing w:after="150"/>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6EEB5221">
            <w:pPr>
              <w:spacing w:after="150"/>
              <w:rPr>
                <w:color w:val="000000"/>
                <w:sz w:val="28"/>
                <w:szCs w:val="28"/>
              </w:rPr>
            </w:pPr>
          </w:p>
        </w:tc>
      </w:tr>
      <w:tr w14:paraId="494B96AA">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18D5AC84">
            <w:pPr>
              <w:spacing w:after="150"/>
              <w:rPr>
                <w:color w:val="000000"/>
                <w:sz w:val="28"/>
                <w:szCs w:val="28"/>
              </w:rPr>
            </w:pP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58480570">
            <w:pPr>
              <w:spacing w:after="150"/>
              <w:rPr>
                <w:color w:val="000000"/>
                <w:sz w:val="28"/>
                <w:szCs w:val="28"/>
              </w:rPr>
            </w:pP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5E059073">
            <w:pPr>
              <w:spacing w:after="150"/>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168361CC">
            <w:pPr>
              <w:spacing w:after="150"/>
              <w:rPr>
                <w:color w:val="000000"/>
                <w:sz w:val="28"/>
                <w:szCs w:val="28"/>
              </w:rPr>
            </w:pPr>
          </w:p>
        </w:tc>
      </w:tr>
      <w:tr w14:paraId="3D75568F">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73DFE380">
            <w:pPr>
              <w:spacing w:after="150"/>
              <w:rPr>
                <w:color w:val="000000"/>
                <w:sz w:val="28"/>
                <w:szCs w:val="28"/>
              </w:rPr>
            </w:pP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6F27AD58">
            <w:pPr>
              <w:spacing w:after="150"/>
              <w:rPr>
                <w:color w:val="000000"/>
                <w:sz w:val="28"/>
                <w:szCs w:val="28"/>
              </w:rPr>
            </w:pP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6031EEF2">
            <w:pPr>
              <w:spacing w:after="150"/>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76A89BFE">
            <w:pPr>
              <w:spacing w:after="150"/>
              <w:rPr>
                <w:color w:val="000000"/>
                <w:sz w:val="28"/>
                <w:szCs w:val="28"/>
              </w:rPr>
            </w:pPr>
          </w:p>
        </w:tc>
      </w:tr>
      <w:tr w14:paraId="2C85D716">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59868C61">
            <w:pPr>
              <w:spacing w:after="150"/>
              <w:rPr>
                <w:color w:val="000000"/>
                <w:sz w:val="28"/>
                <w:szCs w:val="28"/>
              </w:rPr>
            </w:pP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19C45CAD">
            <w:pPr>
              <w:spacing w:after="150"/>
              <w:rPr>
                <w:color w:val="000000"/>
                <w:sz w:val="28"/>
                <w:szCs w:val="28"/>
              </w:rPr>
            </w:pP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1D2420DB">
            <w:pPr>
              <w:spacing w:after="150"/>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0E0D3A64">
            <w:pPr>
              <w:spacing w:after="150"/>
              <w:rPr>
                <w:color w:val="000000"/>
                <w:sz w:val="28"/>
                <w:szCs w:val="28"/>
              </w:rPr>
            </w:pPr>
          </w:p>
        </w:tc>
      </w:tr>
      <w:tr w14:paraId="28F9E225">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259928C8">
            <w:pPr>
              <w:spacing w:after="150"/>
              <w:rPr>
                <w:color w:val="000000"/>
                <w:sz w:val="28"/>
                <w:szCs w:val="28"/>
              </w:rPr>
            </w:pP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7FBE4690">
            <w:pPr>
              <w:spacing w:after="150"/>
              <w:rPr>
                <w:color w:val="000000"/>
                <w:sz w:val="28"/>
                <w:szCs w:val="28"/>
              </w:rPr>
            </w:pP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41A5EE36">
            <w:pPr>
              <w:spacing w:after="150"/>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15B056AD">
            <w:pPr>
              <w:spacing w:after="150"/>
              <w:rPr>
                <w:color w:val="000000"/>
                <w:sz w:val="28"/>
                <w:szCs w:val="28"/>
              </w:rPr>
            </w:pPr>
          </w:p>
        </w:tc>
      </w:tr>
      <w:tr w14:paraId="67BFEFF1">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1565813B">
            <w:pPr>
              <w:spacing w:after="150"/>
              <w:rPr>
                <w:color w:val="000000"/>
                <w:sz w:val="28"/>
                <w:szCs w:val="28"/>
              </w:rPr>
            </w:pP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721B7B76">
            <w:pPr>
              <w:spacing w:after="150"/>
              <w:rPr>
                <w:color w:val="000000"/>
                <w:sz w:val="28"/>
                <w:szCs w:val="28"/>
              </w:rPr>
            </w:pP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235C6590">
            <w:pPr>
              <w:spacing w:after="150"/>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2AB11D5B">
            <w:pPr>
              <w:spacing w:after="150"/>
              <w:rPr>
                <w:color w:val="000000"/>
                <w:sz w:val="28"/>
                <w:szCs w:val="28"/>
              </w:rPr>
            </w:pPr>
          </w:p>
        </w:tc>
      </w:tr>
      <w:tr w14:paraId="79BFBF58">
        <w:tblPrEx>
          <w:shd w:val="clear" w:color="auto" w:fill="FFFFFF"/>
          <w:tblCellMar>
            <w:top w:w="84" w:type="dxa"/>
            <w:left w:w="84" w:type="dxa"/>
            <w:bottom w:w="84" w:type="dxa"/>
            <w:right w:w="84" w:type="dxa"/>
          </w:tblCellMar>
        </w:tblPrEx>
        <w:tc>
          <w:tcPr>
            <w:tcW w:w="216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4964E01E">
            <w:pPr>
              <w:spacing w:after="150"/>
              <w:rPr>
                <w:color w:val="000000"/>
                <w:sz w:val="28"/>
                <w:szCs w:val="28"/>
              </w:rPr>
            </w:pPr>
          </w:p>
        </w:tc>
        <w:tc>
          <w:tcPr>
            <w:tcW w:w="2190"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3DF6CA7F">
            <w:pPr>
              <w:spacing w:after="150"/>
              <w:rPr>
                <w:color w:val="000000"/>
                <w:sz w:val="28"/>
                <w:szCs w:val="28"/>
              </w:rPr>
            </w:pPr>
          </w:p>
        </w:tc>
        <w:tc>
          <w:tcPr>
            <w:tcW w:w="2235" w:type="dxa"/>
            <w:tcBorders>
              <w:top w:val="single" w:color="000000" w:sz="6" w:space="0"/>
              <w:left w:val="single" w:color="000000" w:sz="6" w:space="0"/>
              <w:bottom w:val="single" w:color="000000" w:sz="6" w:space="0"/>
              <w:right w:val="nil"/>
            </w:tcBorders>
            <w:shd w:val="clear" w:color="auto" w:fill="FFFFFF"/>
            <w:tcMar>
              <w:top w:w="0" w:type="dxa"/>
              <w:left w:w="115" w:type="dxa"/>
              <w:bottom w:w="0" w:type="dxa"/>
              <w:right w:w="0" w:type="dxa"/>
            </w:tcMar>
          </w:tcPr>
          <w:p w14:paraId="3FC33DAF">
            <w:pPr>
              <w:spacing w:after="150"/>
              <w:rPr>
                <w:color w:val="000000"/>
                <w:sz w:val="28"/>
                <w:szCs w:val="28"/>
              </w:rPr>
            </w:pPr>
          </w:p>
        </w:tc>
        <w:tc>
          <w:tcPr>
            <w:tcW w:w="2130" w:type="dxa"/>
            <w:tcBorders>
              <w:top w:val="single" w:color="000000" w:sz="6" w:space="0"/>
              <w:left w:val="single" w:color="000000" w:sz="6" w:space="0"/>
              <w:bottom w:val="single" w:color="000000" w:sz="6" w:space="0"/>
              <w:right w:val="single" w:color="000000" w:sz="6" w:space="0"/>
            </w:tcBorders>
            <w:shd w:val="clear" w:color="auto" w:fill="FFFFFF"/>
            <w:tcMar>
              <w:top w:w="0" w:type="dxa"/>
              <w:left w:w="115" w:type="dxa"/>
              <w:bottom w:w="0" w:type="dxa"/>
              <w:right w:w="115" w:type="dxa"/>
            </w:tcMar>
          </w:tcPr>
          <w:p w14:paraId="40222A5B">
            <w:pPr>
              <w:spacing w:after="150"/>
              <w:rPr>
                <w:color w:val="000000"/>
                <w:sz w:val="28"/>
                <w:szCs w:val="28"/>
              </w:rPr>
            </w:pPr>
          </w:p>
        </w:tc>
      </w:tr>
    </w:tbl>
    <w:p w14:paraId="4C1C8E73">
      <w:pPr>
        <w:shd w:val="clear" w:color="auto" w:fill="FFFFFF"/>
        <w:spacing w:after="150"/>
        <w:jc w:val="center"/>
        <w:rPr>
          <w:b/>
          <w:bCs/>
          <w:color w:val="000000"/>
          <w:sz w:val="28"/>
          <w:szCs w:val="28"/>
        </w:rPr>
      </w:pPr>
    </w:p>
    <w:p w14:paraId="7E91B8CD">
      <w:pPr>
        <w:shd w:val="clear" w:color="auto" w:fill="FFFFFF"/>
        <w:spacing w:after="150"/>
        <w:jc w:val="center"/>
        <w:rPr>
          <w:color w:val="000000"/>
          <w:sz w:val="28"/>
          <w:szCs w:val="28"/>
        </w:rPr>
      </w:pPr>
      <w:r>
        <w:rPr>
          <w:b/>
          <w:bCs/>
          <w:color w:val="000000"/>
          <w:sz w:val="28"/>
          <w:szCs w:val="28"/>
        </w:rPr>
        <w:t>1.2. Назначение и типы электрических станций</w:t>
      </w:r>
    </w:p>
    <w:p w14:paraId="376B874F">
      <w:pPr>
        <w:shd w:val="clear" w:color="auto" w:fill="FFFFFF"/>
        <w:spacing w:after="150"/>
        <w:jc w:val="center"/>
        <w:rPr>
          <w:color w:val="000000"/>
          <w:sz w:val="28"/>
          <w:szCs w:val="28"/>
        </w:rPr>
      </w:pPr>
      <w:r>
        <w:rPr>
          <w:b/>
          <w:bCs/>
          <w:color w:val="000000"/>
          <w:sz w:val="28"/>
          <w:szCs w:val="28"/>
        </w:rPr>
        <w:t>Выполните задание:</w:t>
      </w:r>
    </w:p>
    <w:p w14:paraId="3332BED6">
      <w:pPr>
        <w:shd w:val="clear" w:color="auto" w:fill="FFFFFF"/>
        <w:spacing w:after="150" w:line="360" w:lineRule="auto"/>
        <w:jc w:val="center"/>
        <w:rPr>
          <w:b/>
          <w:color w:val="000000"/>
          <w:sz w:val="28"/>
          <w:szCs w:val="28"/>
        </w:rPr>
      </w:pPr>
      <w:r>
        <w:rPr>
          <w:b/>
          <w:color w:val="000000"/>
          <w:sz w:val="28"/>
          <w:szCs w:val="28"/>
        </w:rPr>
        <w:t>1.2.1. На схемах электростанций ВИЭ, ТЭЦ, АЭС, ГЭС указать наименование позиций с 1 и все последующие, обозначить их назначение и проставить технологические параметры (температуру, давление).</w:t>
      </w:r>
    </w:p>
    <w:p w14:paraId="3CCFE91D">
      <w:pPr>
        <w:shd w:val="clear" w:color="auto" w:fill="FFFFFF"/>
        <w:spacing w:after="150"/>
        <w:jc w:val="center"/>
        <w:rPr>
          <w:color w:val="000000"/>
          <w:sz w:val="28"/>
          <w:szCs w:val="28"/>
        </w:rPr>
      </w:pPr>
      <w:r>
        <w:rPr>
          <w:color w:val="000000"/>
          <w:sz w:val="28"/>
          <w:szCs w:val="28"/>
        </w:rPr>
        <w:drawing>
          <wp:inline distT="0" distB="0" distL="0" distR="0">
            <wp:extent cx="5730875" cy="2644140"/>
            <wp:effectExtent l="0" t="0" r="14605" b="7620"/>
            <wp:docPr id="12" name="Рисунок 12" descr="PressurizedWaterReactor_r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PressurizedWaterReactor_ru.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487" cy="2644140"/>
                    </a:xfrm>
                    <a:prstGeom prst="rect">
                      <a:avLst/>
                    </a:prstGeom>
                    <a:noFill/>
                    <a:ln>
                      <a:noFill/>
                    </a:ln>
                  </pic:spPr>
                </pic:pic>
              </a:graphicData>
            </a:graphic>
          </wp:inline>
        </w:drawing>
      </w:r>
    </w:p>
    <w:p w14:paraId="0F2EE16B">
      <w:pPr>
        <w:shd w:val="clear" w:color="auto" w:fill="FFFFFF"/>
        <w:spacing w:after="150"/>
        <w:jc w:val="center"/>
        <w:rPr>
          <w:color w:val="000000"/>
          <w:sz w:val="28"/>
          <w:szCs w:val="28"/>
        </w:rPr>
      </w:pPr>
      <w:r>
        <w:rPr>
          <w:color w:val="000000"/>
          <w:sz w:val="28"/>
          <w:szCs w:val="28"/>
        </w:rPr>
        <w:t>Рисунок 1.18. - принцип работы АЭС</w:t>
      </w:r>
    </w:p>
    <w:p w14:paraId="148A7E38">
      <w:pPr>
        <w:shd w:val="clear" w:color="auto" w:fill="FFFFFF"/>
        <w:spacing w:after="150"/>
        <w:jc w:val="center"/>
        <w:rPr>
          <w:color w:val="000000"/>
          <w:sz w:val="28"/>
          <w:szCs w:val="28"/>
        </w:rPr>
      </w:pPr>
      <w:r>
        <w:rPr>
          <w:color w:val="000000"/>
          <w:sz w:val="28"/>
          <w:szCs w:val="28"/>
        </w:rPr>
        <w:drawing>
          <wp:inline distT="0" distB="0" distL="0" distR="0">
            <wp:extent cx="3771900" cy="1828800"/>
            <wp:effectExtent l="0" t="0" r="7620" b="0"/>
            <wp:docPr id="94" name="Рисунок 25" descr="https://fsd.multiurok.ru/html/2019/12/03/s_5de69270b7947/127719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25" descr="https://fsd.multiurok.ru/html/2019/12/03/s_5de69270b7947/1277196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771900" cy="1828800"/>
                    </a:xfrm>
                    <a:prstGeom prst="rect">
                      <a:avLst/>
                    </a:prstGeom>
                    <a:noFill/>
                    <a:ln>
                      <a:noFill/>
                    </a:ln>
                  </pic:spPr>
                </pic:pic>
              </a:graphicData>
            </a:graphic>
          </wp:inline>
        </w:drawing>
      </w:r>
    </w:p>
    <w:p w14:paraId="2018F49A">
      <w:pPr>
        <w:shd w:val="clear" w:color="auto" w:fill="FFFFFF"/>
        <w:spacing w:after="150"/>
        <w:jc w:val="center"/>
        <w:rPr>
          <w:color w:val="000000"/>
          <w:sz w:val="28"/>
          <w:szCs w:val="28"/>
        </w:rPr>
      </w:pPr>
      <w:r>
        <w:rPr>
          <w:color w:val="000000"/>
          <w:sz w:val="28"/>
          <w:szCs w:val="28"/>
        </w:rPr>
        <w:t xml:space="preserve">Рисунок 1.19. Схема одноконтурной АЭС </w:t>
      </w:r>
    </w:p>
    <w:p w14:paraId="786C6BA5">
      <w:pPr>
        <w:shd w:val="clear" w:color="auto" w:fill="FFFFFF"/>
        <w:spacing w:after="150"/>
        <w:jc w:val="right"/>
        <w:rPr>
          <w:color w:val="000000"/>
          <w:sz w:val="28"/>
          <w:szCs w:val="28"/>
        </w:rPr>
      </w:pPr>
      <w:r>
        <w:rPr>
          <w:color w:val="000000"/>
          <w:sz w:val="28"/>
          <w:szCs w:val="28"/>
        </w:rPr>
        <w:t>Таблица 1.5.</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2739"/>
        <w:gridCol w:w="2928"/>
        <w:gridCol w:w="2928"/>
      </w:tblGrid>
      <w:tr w14:paraId="32CF1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26A7F84">
            <w:pPr>
              <w:jc w:val="center"/>
              <w:rPr>
                <w:rFonts w:eastAsia="Calibri"/>
                <w:sz w:val="22"/>
                <w:szCs w:val="22"/>
                <w:lang w:eastAsia="en-US"/>
              </w:rPr>
            </w:pPr>
          </w:p>
        </w:tc>
        <w:tc>
          <w:tcPr>
            <w:tcW w:w="2739" w:type="dxa"/>
          </w:tcPr>
          <w:p w14:paraId="7AAADE6A">
            <w:pPr>
              <w:jc w:val="center"/>
              <w:rPr>
                <w:rFonts w:eastAsia="Calibri"/>
                <w:sz w:val="22"/>
                <w:szCs w:val="22"/>
                <w:lang w:eastAsia="en-US"/>
              </w:rPr>
            </w:pPr>
            <w:r>
              <w:rPr>
                <w:rFonts w:eastAsia="Calibri"/>
                <w:sz w:val="22"/>
                <w:szCs w:val="22"/>
                <w:lang w:eastAsia="en-US"/>
              </w:rPr>
              <w:t>Определение составной части</w:t>
            </w:r>
          </w:p>
        </w:tc>
        <w:tc>
          <w:tcPr>
            <w:tcW w:w="2928" w:type="dxa"/>
          </w:tcPr>
          <w:p w14:paraId="08238544">
            <w:pPr>
              <w:jc w:val="center"/>
              <w:rPr>
                <w:color w:val="000000"/>
                <w:sz w:val="22"/>
                <w:szCs w:val="22"/>
              </w:rPr>
            </w:pPr>
            <w:r>
              <w:rPr>
                <w:color w:val="000000"/>
                <w:sz w:val="22"/>
                <w:szCs w:val="22"/>
              </w:rPr>
              <w:t>Назначение</w:t>
            </w:r>
          </w:p>
        </w:tc>
        <w:tc>
          <w:tcPr>
            <w:tcW w:w="2928" w:type="dxa"/>
          </w:tcPr>
          <w:p w14:paraId="55BC45D0">
            <w:pPr>
              <w:jc w:val="center"/>
              <w:rPr>
                <w:color w:val="000000"/>
                <w:sz w:val="22"/>
                <w:szCs w:val="22"/>
              </w:rPr>
            </w:pPr>
            <w:r>
              <w:rPr>
                <w:color w:val="000000"/>
                <w:sz w:val="22"/>
                <w:szCs w:val="22"/>
              </w:rPr>
              <w:t>Выявление познаний по показателям ЗХУ</w:t>
            </w:r>
          </w:p>
        </w:tc>
      </w:tr>
      <w:tr w14:paraId="7B4E3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4E3F17B8">
            <w:pPr>
              <w:rPr>
                <w:rFonts w:eastAsia="Calibri"/>
                <w:sz w:val="22"/>
                <w:szCs w:val="22"/>
                <w:lang w:eastAsia="en-US"/>
              </w:rPr>
            </w:pPr>
            <w:r>
              <w:rPr>
                <w:rFonts w:eastAsia="Calibri"/>
                <w:sz w:val="22"/>
                <w:szCs w:val="22"/>
                <w:lang w:eastAsia="en-US"/>
              </w:rPr>
              <w:t>1</w:t>
            </w:r>
          </w:p>
        </w:tc>
        <w:tc>
          <w:tcPr>
            <w:tcW w:w="2739" w:type="dxa"/>
          </w:tcPr>
          <w:p w14:paraId="657DC283">
            <w:pPr>
              <w:rPr>
                <w:rFonts w:eastAsia="Calibri"/>
                <w:sz w:val="22"/>
                <w:szCs w:val="22"/>
                <w:lang w:eastAsia="en-US"/>
              </w:rPr>
            </w:pPr>
          </w:p>
        </w:tc>
        <w:tc>
          <w:tcPr>
            <w:tcW w:w="2928" w:type="dxa"/>
          </w:tcPr>
          <w:p w14:paraId="249BFF2C">
            <w:pPr>
              <w:jc w:val="both"/>
              <w:rPr>
                <w:color w:val="000000"/>
                <w:sz w:val="28"/>
                <w:szCs w:val="28"/>
              </w:rPr>
            </w:pPr>
          </w:p>
        </w:tc>
        <w:tc>
          <w:tcPr>
            <w:tcW w:w="2928" w:type="dxa"/>
          </w:tcPr>
          <w:p w14:paraId="0F98FDD3">
            <w:pPr>
              <w:jc w:val="both"/>
              <w:rPr>
                <w:color w:val="000000"/>
                <w:sz w:val="28"/>
                <w:szCs w:val="28"/>
              </w:rPr>
            </w:pPr>
          </w:p>
        </w:tc>
      </w:tr>
      <w:tr w14:paraId="7506B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361B11D">
            <w:pPr>
              <w:rPr>
                <w:rFonts w:eastAsia="Calibri"/>
                <w:sz w:val="22"/>
                <w:szCs w:val="22"/>
                <w:lang w:eastAsia="en-US"/>
              </w:rPr>
            </w:pPr>
            <w:r>
              <w:rPr>
                <w:rFonts w:eastAsia="Calibri"/>
                <w:sz w:val="22"/>
                <w:szCs w:val="22"/>
                <w:lang w:eastAsia="en-US"/>
              </w:rPr>
              <w:t>2</w:t>
            </w:r>
          </w:p>
        </w:tc>
        <w:tc>
          <w:tcPr>
            <w:tcW w:w="2739" w:type="dxa"/>
          </w:tcPr>
          <w:p w14:paraId="55D44D9F">
            <w:pPr>
              <w:rPr>
                <w:rFonts w:eastAsia="Calibri"/>
                <w:sz w:val="22"/>
                <w:szCs w:val="22"/>
                <w:lang w:eastAsia="en-US"/>
              </w:rPr>
            </w:pPr>
          </w:p>
        </w:tc>
        <w:tc>
          <w:tcPr>
            <w:tcW w:w="2928" w:type="dxa"/>
          </w:tcPr>
          <w:p w14:paraId="4CB2AD6B">
            <w:pPr>
              <w:jc w:val="both"/>
              <w:rPr>
                <w:color w:val="000000"/>
                <w:sz w:val="28"/>
                <w:szCs w:val="28"/>
              </w:rPr>
            </w:pPr>
          </w:p>
        </w:tc>
        <w:tc>
          <w:tcPr>
            <w:tcW w:w="2928" w:type="dxa"/>
          </w:tcPr>
          <w:p w14:paraId="7DB3C7D8">
            <w:pPr>
              <w:jc w:val="both"/>
              <w:rPr>
                <w:color w:val="000000"/>
                <w:sz w:val="28"/>
                <w:szCs w:val="28"/>
              </w:rPr>
            </w:pPr>
          </w:p>
        </w:tc>
      </w:tr>
      <w:tr w14:paraId="6EE02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1CE14F10">
            <w:pPr>
              <w:rPr>
                <w:rFonts w:eastAsia="Calibri"/>
                <w:sz w:val="22"/>
                <w:szCs w:val="22"/>
                <w:lang w:eastAsia="en-US"/>
              </w:rPr>
            </w:pPr>
            <w:r>
              <w:rPr>
                <w:rFonts w:eastAsia="Calibri"/>
                <w:sz w:val="22"/>
                <w:szCs w:val="22"/>
                <w:lang w:eastAsia="en-US"/>
              </w:rPr>
              <w:t>3</w:t>
            </w:r>
          </w:p>
        </w:tc>
        <w:tc>
          <w:tcPr>
            <w:tcW w:w="2739" w:type="dxa"/>
          </w:tcPr>
          <w:p w14:paraId="0AA2D715">
            <w:pPr>
              <w:rPr>
                <w:rFonts w:eastAsia="Calibri"/>
                <w:sz w:val="22"/>
                <w:szCs w:val="22"/>
                <w:lang w:eastAsia="en-US"/>
              </w:rPr>
            </w:pPr>
          </w:p>
        </w:tc>
        <w:tc>
          <w:tcPr>
            <w:tcW w:w="2928" w:type="dxa"/>
          </w:tcPr>
          <w:p w14:paraId="2421F1EF">
            <w:pPr>
              <w:jc w:val="both"/>
              <w:rPr>
                <w:color w:val="000000"/>
                <w:sz w:val="28"/>
                <w:szCs w:val="28"/>
              </w:rPr>
            </w:pPr>
          </w:p>
        </w:tc>
        <w:tc>
          <w:tcPr>
            <w:tcW w:w="2928" w:type="dxa"/>
          </w:tcPr>
          <w:p w14:paraId="454B253B">
            <w:pPr>
              <w:jc w:val="both"/>
              <w:rPr>
                <w:color w:val="000000"/>
                <w:sz w:val="28"/>
                <w:szCs w:val="28"/>
              </w:rPr>
            </w:pPr>
          </w:p>
        </w:tc>
      </w:tr>
      <w:tr w14:paraId="2E134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8280240">
            <w:pPr>
              <w:rPr>
                <w:rFonts w:eastAsia="Calibri"/>
                <w:sz w:val="22"/>
                <w:szCs w:val="22"/>
                <w:lang w:eastAsia="en-US"/>
              </w:rPr>
            </w:pPr>
            <w:r>
              <w:rPr>
                <w:rFonts w:eastAsia="Calibri"/>
                <w:sz w:val="22"/>
                <w:szCs w:val="22"/>
                <w:lang w:eastAsia="en-US"/>
              </w:rPr>
              <w:t>4</w:t>
            </w:r>
          </w:p>
        </w:tc>
        <w:tc>
          <w:tcPr>
            <w:tcW w:w="2739" w:type="dxa"/>
          </w:tcPr>
          <w:p w14:paraId="21EB101E">
            <w:pPr>
              <w:rPr>
                <w:rFonts w:eastAsia="Calibri"/>
                <w:sz w:val="22"/>
                <w:szCs w:val="22"/>
                <w:lang w:eastAsia="en-US"/>
              </w:rPr>
            </w:pPr>
          </w:p>
        </w:tc>
        <w:tc>
          <w:tcPr>
            <w:tcW w:w="2928" w:type="dxa"/>
          </w:tcPr>
          <w:p w14:paraId="51D61195">
            <w:pPr>
              <w:jc w:val="both"/>
              <w:rPr>
                <w:color w:val="000000"/>
                <w:sz w:val="28"/>
                <w:szCs w:val="28"/>
              </w:rPr>
            </w:pPr>
          </w:p>
        </w:tc>
        <w:tc>
          <w:tcPr>
            <w:tcW w:w="2928" w:type="dxa"/>
          </w:tcPr>
          <w:p w14:paraId="1C6D744C">
            <w:pPr>
              <w:jc w:val="both"/>
              <w:rPr>
                <w:color w:val="000000"/>
                <w:sz w:val="28"/>
                <w:szCs w:val="28"/>
              </w:rPr>
            </w:pPr>
          </w:p>
        </w:tc>
      </w:tr>
      <w:tr w14:paraId="30A81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3D9E0A3">
            <w:pPr>
              <w:rPr>
                <w:rFonts w:eastAsia="Calibri"/>
                <w:sz w:val="22"/>
                <w:szCs w:val="22"/>
                <w:lang w:eastAsia="en-US"/>
              </w:rPr>
            </w:pPr>
            <w:r>
              <w:rPr>
                <w:rFonts w:eastAsia="Calibri"/>
                <w:sz w:val="22"/>
                <w:szCs w:val="22"/>
                <w:lang w:eastAsia="en-US"/>
              </w:rPr>
              <w:t>5</w:t>
            </w:r>
          </w:p>
        </w:tc>
        <w:tc>
          <w:tcPr>
            <w:tcW w:w="2739" w:type="dxa"/>
          </w:tcPr>
          <w:p w14:paraId="488BA6FB">
            <w:pPr>
              <w:rPr>
                <w:rFonts w:eastAsia="Calibri"/>
                <w:sz w:val="22"/>
                <w:szCs w:val="22"/>
                <w:lang w:eastAsia="en-US"/>
              </w:rPr>
            </w:pPr>
          </w:p>
        </w:tc>
        <w:tc>
          <w:tcPr>
            <w:tcW w:w="2928" w:type="dxa"/>
          </w:tcPr>
          <w:p w14:paraId="3091B5E3">
            <w:pPr>
              <w:jc w:val="both"/>
              <w:rPr>
                <w:color w:val="000000"/>
                <w:sz w:val="28"/>
                <w:szCs w:val="28"/>
              </w:rPr>
            </w:pPr>
          </w:p>
        </w:tc>
        <w:tc>
          <w:tcPr>
            <w:tcW w:w="2928" w:type="dxa"/>
          </w:tcPr>
          <w:p w14:paraId="60FBA2F9">
            <w:pPr>
              <w:jc w:val="both"/>
              <w:rPr>
                <w:color w:val="000000"/>
                <w:sz w:val="28"/>
                <w:szCs w:val="28"/>
              </w:rPr>
            </w:pPr>
          </w:p>
        </w:tc>
      </w:tr>
      <w:tr w14:paraId="1053B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CAD7BC2">
            <w:pPr>
              <w:rPr>
                <w:rFonts w:eastAsia="Calibri"/>
                <w:sz w:val="22"/>
                <w:szCs w:val="22"/>
                <w:lang w:eastAsia="en-US"/>
              </w:rPr>
            </w:pPr>
            <w:r>
              <w:rPr>
                <w:rFonts w:eastAsia="Calibri"/>
                <w:sz w:val="22"/>
                <w:szCs w:val="22"/>
                <w:lang w:eastAsia="en-US"/>
              </w:rPr>
              <w:t>6</w:t>
            </w:r>
          </w:p>
        </w:tc>
        <w:tc>
          <w:tcPr>
            <w:tcW w:w="2739" w:type="dxa"/>
          </w:tcPr>
          <w:p w14:paraId="6671A20F">
            <w:pPr>
              <w:rPr>
                <w:rFonts w:eastAsia="Calibri"/>
                <w:sz w:val="22"/>
                <w:szCs w:val="22"/>
                <w:lang w:eastAsia="en-US"/>
              </w:rPr>
            </w:pPr>
          </w:p>
        </w:tc>
        <w:tc>
          <w:tcPr>
            <w:tcW w:w="2928" w:type="dxa"/>
          </w:tcPr>
          <w:p w14:paraId="3062F876">
            <w:pPr>
              <w:jc w:val="both"/>
              <w:rPr>
                <w:color w:val="000000"/>
                <w:sz w:val="28"/>
                <w:szCs w:val="28"/>
              </w:rPr>
            </w:pPr>
          </w:p>
        </w:tc>
        <w:tc>
          <w:tcPr>
            <w:tcW w:w="2928" w:type="dxa"/>
          </w:tcPr>
          <w:p w14:paraId="5FE286A1">
            <w:pPr>
              <w:jc w:val="both"/>
              <w:rPr>
                <w:color w:val="000000"/>
                <w:sz w:val="28"/>
                <w:szCs w:val="28"/>
              </w:rPr>
            </w:pPr>
          </w:p>
        </w:tc>
      </w:tr>
      <w:tr w14:paraId="155B9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7BD6A09">
            <w:pPr>
              <w:rPr>
                <w:rFonts w:eastAsia="Calibri"/>
                <w:sz w:val="22"/>
                <w:szCs w:val="22"/>
                <w:lang w:eastAsia="en-US"/>
              </w:rPr>
            </w:pPr>
          </w:p>
        </w:tc>
        <w:tc>
          <w:tcPr>
            <w:tcW w:w="2739" w:type="dxa"/>
          </w:tcPr>
          <w:p w14:paraId="3899C093">
            <w:pPr>
              <w:rPr>
                <w:rFonts w:eastAsia="Calibri"/>
                <w:sz w:val="22"/>
                <w:szCs w:val="22"/>
                <w:lang w:eastAsia="en-US"/>
              </w:rPr>
            </w:pPr>
          </w:p>
        </w:tc>
        <w:tc>
          <w:tcPr>
            <w:tcW w:w="2928" w:type="dxa"/>
          </w:tcPr>
          <w:p w14:paraId="7D7D910E">
            <w:pPr>
              <w:jc w:val="both"/>
              <w:rPr>
                <w:color w:val="000000"/>
                <w:sz w:val="28"/>
                <w:szCs w:val="28"/>
              </w:rPr>
            </w:pPr>
          </w:p>
        </w:tc>
        <w:tc>
          <w:tcPr>
            <w:tcW w:w="2928" w:type="dxa"/>
          </w:tcPr>
          <w:p w14:paraId="5532B521">
            <w:pPr>
              <w:jc w:val="both"/>
              <w:rPr>
                <w:color w:val="000000"/>
                <w:sz w:val="28"/>
                <w:szCs w:val="28"/>
              </w:rPr>
            </w:pPr>
          </w:p>
        </w:tc>
      </w:tr>
      <w:tr w14:paraId="20DC71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555E5C0">
            <w:pPr>
              <w:rPr>
                <w:rFonts w:eastAsia="Calibri"/>
                <w:sz w:val="22"/>
                <w:szCs w:val="22"/>
                <w:lang w:eastAsia="en-US"/>
              </w:rPr>
            </w:pPr>
          </w:p>
        </w:tc>
        <w:tc>
          <w:tcPr>
            <w:tcW w:w="2739" w:type="dxa"/>
          </w:tcPr>
          <w:p w14:paraId="7B5C0064">
            <w:pPr>
              <w:rPr>
                <w:rFonts w:eastAsia="Calibri"/>
                <w:sz w:val="22"/>
                <w:szCs w:val="22"/>
                <w:lang w:eastAsia="en-US"/>
              </w:rPr>
            </w:pPr>
          </w:p>
        </w:tc>
        <w:tc>
          <w:tcPr>
            <w:tcW w:w="2928" w:type="dxa"/>
          </w:tcPr>
          <w:p w14:paraId="1387F018">
            <w:pPr>
              <w:jc w:val="both"/>
              <w:rPr>
                <w:color w:val="000000"/>
                <w:sz w:val="28"/>
                <w:szCs w:val="28"/>
              </w:rPr>
            </w:pPr>
          </w:p>
        </w:tc>
        <w:tc>
          <w:tcPr>
            <w:tcW w:w="2928" w:type="dxa"/>
          </w:tcPr>
          <w:p w14:paraId="6112949F">
            <w:pPr>
              <w:jc w:val="both"/>
              <w:rPr>
                <w:color w:val="000000"/>
                <w:sz w:val="28"/>
                <w:szCs w:val="28"/>
              </w:rPr>
            </w:pPr>
          </w:p>
        </w:tc>
      </w:tr>
      <w:tr w14:paraId="45F07B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4401D27D">
            <w:pPr>
              <w:rPr>
                <w:rFonts w:eastAsia="Calibri"/>
                <w:sz w:val="22"/>
                <w:szCs w:val="22"/>
                <w:lang w:eastAsia="en-US"/>
              </w:rPr>
            </w:pPr>
          </w:p>
        </w:tc>
        <w:tc>
          <w:tcPr>
            <w:tcW w:w="2739" w:type="dxa"/>
          </w:tcPr>
          <w:p w14:paraId="14F4DAAE">
            <w:pPr>
              <w:rPr>
                <w:rFonts w:eastAsia="Calibri"/>
                <w:sz w:val="22"/>
                <w:szCs w:val="22"/>
                <w:lang w:eastAsia="en-US"/>
              </w:rPr>
            </w:pPr>
          </w:p>
        </w:tc>
        <w:tc>
          <w:tcPr>
            <w:tcW w:w="2928" w:type="dxa"/>
          </w:tcPr>
          <w:p w14:paraId="107613D0">
            <w:pPr>
              <w:jc w:val="both"/>
              <w:rPr>
                <w:color w:val="000000"/>
                <w:sz w:val="28"/>
                <w:szCs w:val="28"/>
              </w:rPr>
            </w:pPr>
          </w:p>
        </w:tc>
        <w:tc>
          <w:tcPr>
            <w:tcW w:w="2928" w:type="dxa"/>
          </w:tcPr>
          <w:p w14:paraId="1CE2DACC">
            <w:pPr>
              <w:jc w:val="both"/>
              <w:rPr>
                <w:color w:val="000000"/>
                <w:sz w:val="28"/>
                <w:szCs w:val="28"/>
              </w:rPr>
            </w:pPr>
          </w:p>
        </w:tc>
      </w:tr>
      <w:tr w14:paraId="47866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5BE0071">
            <w:pPr>
              <w:rPr>
                <w:rFonts w:eastAsia="Calibri"/>
                <w:sz w:val="22"/>
                <w:szCs w:val="22"/>
                <w:lang w:eastAsia="en-US"/>
              </w:rPr>
            </w:pPr>
          </w:p>
        </w:tc>
        <w:tc>
          <w:tcPr>
            <w:tcW w:w="2739" w:type="dxa"/>
          </w:tcPr>
          <w:p w14:paraId="5523B1F6">
            <w:pPr>
              <w:rPr>
                <w:rFonts w:eastAsia="Calibri"/>
                <w:sz w:val="22"/>
                <w:szCs w:val="22"/>
                <w:lang w:eastAsia="en-US"/>
              </w:rPr>
            </w:pPr>
          </w:p>
        </w:tc>
        <w:tc>
          <w:tcPr>
            <w:tcW w:w="2928" w:type="dxa"/>
          </w:tcPr>
          <w:p w14:paraId="556F0C13">
            <w:pPr>
              <w:jc w:val="both"/>
              <w:rPr>
                <w:color w:val="000000"/>
                <w:sz w:val="28"/>
                <w:szCs w:val="28"/>
              </w:rPr>
            </w:pPr>
          </w:p>
        </w:tc>
        <w:tc>
          <w:tcPr>
            <w:tcW w:w="2928" w:type="dxa"/>
          </w:tcPr>
          <w:p w14:paraId="202F0959">
            <w:pPr>
              <w:jc w:val="both"/>
              <w:rPr>
                <w:color w:val="000000"/>
                <w:sz w:val="28"/>
                <w:szCs w:val="28"/>
              </w:rPr>
            </w:pPr>
          </w:p>
        </w:tc>
      </w:tr>
      <w:tr w14:paraId="7F45C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A9D9DEE">
            <w:pPr>
              <w:rPr>
                <w:rFonts w:eastAsia="Calibri"/>
                <w:sz w:val="22"/>
                <w:szCs w:val="22"/>
                <w:lang w:eastAsia="en-US"/>
              </w:rPr>
            </w:pPr>
          </w:p>
        </w:tc>
        <w:tc>
          <w:tcPr>
            <w:tcW w:w="2739" w:type="dxa"/>
          </w:tcPr>
          <w:p w14:paraId="5BC066B6">
            <w:pPr>
              <w:rPr>
                <w:rFonts w:eastAsia="Calibri"/>
                <w:sz w:val="22"/>
                <w:szCs w:val="22"/>
                <w:lang w:eastAsia="en-US"/>
              </w:rPr>
            </w:pPr>
          </w:p>
        </w:tc>
        <w:tc>
          <w:tcPr>
            <w:tcW w:w="2928" w:type="dxa"/>
          </w:tcPr>
          <w:p w14:paraId="7F31373E">
            <w:pPr>
              <w:jc w:val="both"/>
              <w:rPr>
                <w:color w:val="000000"/>
                <w:sz w:val="28"/>
                <w:szCs w:val="28"/>
              </w:rPr>
            </w:pPr>
          </w:p>
        </w:tc>
        <w:tc>
          <w:tcPr>
            <w:tcW w:w="2928" w:type="dxa"/>
          </w:tcPr>
          <w:p w14:paraId="1E2151A4">
            <w:pPr>
              <w:jc w:val="both"/>
              <w:rPr>
                <w:color w:val="000000"/>
                <w:sz w:val="28"/>
                <w:szCs w:val="28"/>
              </w:rPr>
            </w:pPr>
          </w:p>
        </w:tc>
      </w:tr>
      <w:tr w14:paraId="20A476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3F62245">
            <w:pPr>
              <w:rPr>
                <w:rFonts w:eastAsia="Calibri"/>
                <w:sz w:val="22"/>
                <w:szCs w:val="22"/>
                <w:lang w:eastAsia="en-US"/>
              </w:rPr>
            </w:pPr>
          </w:p>
        </w:tc>
        <w:tc>
          <w:tcPr>
            <w:tcW w:w="2739" w:type="dxa"/>
          </w:tcPr>
          <w:p w14:paraId="048D8C68">
            <w:pPr>
              <w:rPr>
                <w:rFonts w:eastAsia="Calibri"/>
                <w:sz w:val="22"/>
                <w:szCs w:val="22"/>
                <w:lang w:eastAsia="en-US"/>
              </w:rPr>
            </w:pPr>
          </w:p>
        </w:tc>
        <w:tc>
          <w:tcPr>
            <w:tcW w:w="2928" w:type="dxa"/>
          </w:tcPr>
          <w:p w14:paraId="4550355E">
            <w:pPr>
              <w:jc w:val="both"/>
              <w:rPr>
                <w:color w:val="000000"/>
                <w:sz w:val="28"/>
                <w:szCs w:val="28"/>
              </w:rPr>
            </w:pPr>
          </w:p>
        </w:tc>
        <w:tc>
          <w:tcPr>
            <w:tcW w:w="2928" w:type="dxa"/>
          </w:tcPr>
          <w:p w14:paraId="311C2AD8">
            <w:pPr>
              <w:jc w:val="both"/>
              <w:rPr>
                <w:color w:val="000000"/>
                <w:sz w:val="28"/>
                <w:szCs w:val="28"/>
              </w:rPr>
            </w:pPr>
          </w:p>
        </w:tc>
      </w:tr>
    </w:tbl>
    <w:p w14:paraId="2F2AE559">
      <w:pPr>
        <w:shd w:val="clear" w:color="auto" w:fill="FFFFFF"/>
        <w:spacing w:after="150"/>
        <w:jc w:val="center"/>
        <w:rPr>
          <w:b/>
          <w:color w:val="000000"/>
          <w:sz w:val="28"/>
          <w:szCs w:val="28"/>
        </w:rPr>
      </w:pPr>
    </w:p>
    <w:p w14:paraId="1BAD4A52">
      <w:pPr>
        <w:shd w:val="clear" w:color="auto" w:fill="FFFFFF"/>
        <w:spacing w:after="150"/>
        <w:jc w:val="center"/>
        <w:rPr>
          <w:b/>
          <w:color w:val="000000"/>
          <w:sz w:val="28"/>
          <w:szCs w:val="28"/>
        </w:rPr>
      </w:pPr>
    </w:p>
    <w:p w14:paraId="6208EE19">
      <w:pPr>
        <w:shd w:val="clear" w:color="auto" w:fill="FFFFFF"/>
        <w:spacing w:after="150"/>
        <w:jc w:val="center"/>
        <w:rPr>
          <w:b/>
          <w:color w:val="000000"/>
          <w:sz w:val="28"/>
          <w:szCs w:val="28"/>
        </w:rPr>
      </w:pPr>
    </w:p>
    <w:p w14:paraId="0BA32BC6">
      <w:pPr>
        <w:shd w:val="clear" w:color="auto" w:fill="FFFFFF"/>
        <w:spacing w:after="150"/>
        <w:jc w:val="center"/>
        <w:rPr>
          <w:b/>
          <w:color w:val="000000"/>
          <w:sz w:val="28"/>
          <w:szCs w:val="28"/>
        </w:rPr>
      </w:pPr>
    </w:p>
    <w:p w14:paraId="0DD2F39F">
      <w:pPr>
        <w:shd w:val="clear" w:color="auto" w:fill="FFFFFF"/>
        <w:spacing w:after="150"/>
        <w:jc w:val="center"/>
        <w:rPr>
          <w:b/>
          <w:color w:val="000000"/>
          <w:sz w:val="28"/>
          <w:szCs w:val="28"/>
        </w:rPr>
      </w:pPr>
    </w:p>
    <w:p w14:paraId="70D8C013">
      <w:pPr>
        <w:shd w:val="clear" w:color="auto" w:fill="FFFFFF"/>
        <w:spacing w:after="150"/>
        <w:jc w:val="center"/>
        <w:rPr>
          <w:b/>
          <w:color w:val="000000"/>
          <w:sz w:val="28"/>
          <w:szCs w:val="28"/>
        </w:rPr>
      </w:pPr>
    </w:p>
    <w:p w14:paraId="464D8446">
      <w:pPr>
        <w:shd w:val="clear" w:color="auto" w:fill="FFFFFF"/>
        <w:spacing w:after="150"/>
        <w:jc w:val="center"/>
        <w:rPr>
          <w:b/>
          <w:color w:val="000000"/>
          <w:sz w:val="28"/>
          <w:szCs w:val="28"/>
        </w:rPr>
      </w:pPr>
    </w:p>
    <w:p w14:paraId="26D85683">
      <w:pPr>
        <w:shd w:val="clear" w:color="auto" w:fill="FFFFFF"/>
        <w:spacing w:after="150"/>
        <w:jc w:val="center"/>
        <w:rPr>
          <w:b/>
          <w:color w:val="000000"/>
          <w:sz w:val="28"/>
          <w:szCs w:val="28"/>
        </w:rPr>
      </w:pPr>
    </w:p>
    <w:p w14:paraId="547B9457">
      <w:pPr>
        <w:shd w:val="clear" w:color="auto" w:fill="FFFFFF"/>
        <w:spacing w:after="150"/>
        <w:jc w:val="center"/>
        <w:rPr>
          <w:b/>
          <w:color w:val="000000"/>
          <w:sz w:val="28"/>
          <w:szCs w:val="28"/>
        </w:rPr>
      </w:pPr>
    </w:p>
    <w:p w14:paraId="001527EB">
      <w:pPr>
        <w:shd w:val="clear" w:color="auto" w:fill="FFFFFF"/>
        <w:spacing w:after="150"/>
        <w:jc w:val="center"/>
        <w:rPr>
          <w:b/>
          <w:color w:val="000000"/>
          <w:sz w:val="28"/>
          <w:szCs w:val="28"/>
        </w:rPr>
      </w:pPr>
      <w:r>
        <w:rPr>
          <w:b/>
          <w:color w:val="000000"/>
          <w:sz w:val="28"/>
          <w:szCs w:val="28"/>
        </w:rPr>
        <w:t>1.2.2. На схемах электростанций ВИЭ, ТЭЦ, АЭС, ГЭС указать наименование позиций с 1 и все последующие, обозначить их назначение и проставить технологические параметры (температуру, давление).</w:t>
      </w:r>
    </w:p>
    <w:p w14:paraId="46A91BFE">
      <w:pPr>
        <w:shd w:val="clear" w:color="auto" w:fill="FFFFFF"/>
        <w:spacing w:after="150"/>
        <w:jc w:val="center"/>
        <w:rPr>
          <w:color w:val="000000"/>
          <w:sz w:val="28"/>
          <w:szCs w:val="28"/>
        </w:rPr>
      </w:pPr>
      <w:r>
        <w:rPr>
          <w:color w:val="000000"/>
          <w:sz w:val="28"/>
          <w:szCs w:val="28"/>
        </w:rPr>
        <w:drawing>
          <wp:inline distT="0" distB="0" distL="0" distR="0">
            <wp:extent cx="4754880" cy="2573020"/>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73626" cy="2583261"/>
                    </a:xfrm>
                    <a:prstGeom prst="rect">
                      <a:avLst/>
                    </a:prstGeom>
                    <a:noFill/>
                  </pic:spPr>
                </pic:pic>
              </a:graphicData>
            </a:graphic>
          </wp:inline>
        </w:drawing>
      </w:r>
    </w:p>
    <w:p w14:paraId="60A3ACE6">
      <w:pPr>
        <w:shd w:val="clear" w:color="auto" w:fill="FFFFFF"/>
        <w:spacing w:after="150"/>
        <w:jc w:val="center"/>
        <w:rPr>
          <w:color w:val="000000"/>
          <w:sz w:val="28"/>
          <w:szCs w:val="28"/>
        </w:rPr>
      </w:pPr>
      <w:r>
        <w:rPr>
          <w:color w:val="000000"/>
          <w:sz w:val="28"/>
          <w:szCs w:val="28"/>
        </w:rPr>
        <w:t>Рисунок 1.20. Схема ГЭС</w:t>
      </w:r>
    </w:p>
    <w:p w14:paraId="022CE1EE">
      <w:pPr>
        <w:shd w:val="clear" w:color="auto" w:fill="FFFFFF"/>
        <w:spacing w:after="150"/>
        <w:jc w:val="right"/>
        <w:rPr>
          <w:color w:val="000000"/>
          <w:sz w:val="28"/>
          <w:szCs w:val="28"/>
        </w:rPr>
      </w:pPr>
      <w:r>
        <w:rPr>
          <w:color w:val="000000"/>
          <w:sz w:val="28"/>
          <w:szCs w:val="28"/>
        </w:rPr>
        <w:t>Таблица 1.6.</w:t>
      </w:r>
    </w:p>
    <w:tbl>
      <w:tblPr>
        <w:tblStyle w:val="4"/>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2739"/>
        <w:gridCol w:w="2928"/>
        <w:gridCol w:w="2928"/>
      </w:tblGrid>
      <w:tr w14:paraId="4336E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EE409EE">
            <w:pPr>
              <w:shd w:val="clear" w:color="auto" w:fill="FFFFFF"/>
              <w:jc w:val="center"/>
              <w:rPr>
                <w:color w:val="000000"/>
                <w:sz w:val="22"/>
                <w:szCs w:val="22"/>
              </w:rPr>
            </w:pPr>
          </w:p>
        </w:tc>
        <w:tc>
          <w:tcPr>
            <w:tcW w:w="2739" w:type="dxa"/>
          </w:tcPr>
          <w:p w14:paraId="5D5DB838">
            <w:pPr>
              <w:shd w:val="clear" w:color="auto" w:fill="FFFFFF"/>
              <w:jc w:val="center"/>
              <w:rPr>
                <w:color w:val="000000"/>
                <w:sz w:val="22"/>
                <w:szCs w:val="22"/>
              </w:rPr>
            </w:pPr>
            <w:r>
              <w:rPr>
                <w:color w:val="000000"/>
                <w:sz w:val="22"/>
                <w:szCs w:val="22"/>
              </w:rPr>
              <w:t>Определение составной части</w:t>
            </w:r>
          </w:p>
        </w:tc>
        <w:tc>
          <w:tcPr>
            <w:tcW w:w="2928" w:type="dxa"/>
          </w:tcPr>
          <w:p w14:paraId="6F711522">
            <w:pPr>
              <w:shd w:val="clear" w:color="auto" w:fill="FFFFFF"/>
              <w:jc w:val="center"/>
              <w:rPr>
                <w:color w:val="000000"/>
                <w:sz w:val="22"/>
                <w:szCs w:val="22"/>
              </w:rPr>
            </w:pPr>
            <w:r>
              <w:rPr>
                <w:color w:val="000000"/>
                <w:sz w:val="22"/>
                <w:szCs w:val="22"/>
              </w:rPr>
              <w:t>Назначение</w:t>
            </w:r>
          </w:p>
        </w:tc>
        <w:tc>
          <w:tcPr>
            <w:tcW w:w="2928" w:type="dxa"/>
          </w:tcPr>
          <w:p w14:paraId="60449C8E">
            <w:pPr>
              <w:shd w:val="clear" w:color="auto" w:fill="FFFFFF"/>
              <w:jc w:val="center"/>
              <w:rPr>
                <w:color w:val="000000"/>
                <w:sz w:val="22"/>
                <w:szCs w:val="22"/>
              </w:rPr>
            </w:pPr>
            <w:r>
              <w:rPr>
                <w:color w:val="000000"/>
                <w:sz w:val="22"/>
                <w:szCs w:val="22"/>
              </w:rPr>
              <w:t>Выявление познаний по показателям ЗХУ</w:t>
            </w:r>
          </w:p>
        </w:tc>
      </w:tr>
      <w:tr w14:paraId="67B40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B47FFAE">
            <w:pPr>
              <w:rPr>
                <w:rFonts w:eastAsia="Calibri"/>
                <w:sz w:val="22"/>
                <w:szCs w:val="22"/>
                <w:lang w:eastAsia="en-US"/>
              </w:rPr>
            </w:pPr>
            <w:r>
              <w:rPr>
                <w:rFonts w:eastAsia="Calibri"/>
                <w:sz w:val="22"/>
                <w:szCs w:val="22"/>
                <w:lang w:eastAsia="en-US"/>
              </w:rPr>
              <w:t>1</w:t>
            </w:r>
          </w:p>
        </w:tc>
        <w:tc>
          <w:tcPr>
            <w:tcW w:w="2739" w:type="dxa"/>
          </w:tcPr>
          <w:p w14:paraId="04288CE8">
            <w:pPr>
              <w:shd w:val="clear" w:color="auto" w:fill="FFFFFF"/>
              <w:rPr>
                <w:color w:val="000000"/>
                <w:sz w:val="22"/>
                <w:szCs w:val="22"/>
              </w:rPr>
            </w:pPr>
          </w:p>
        </w:tc>
        <w:tc>
          <w:tcPr>
            <w:tcW w:w="2928" w:type="dxa"/>
          </w:tcPr>
          <w:p w14:paraId="22B259D4">
            <w:pPr>
              <w:shd w:val="clear" w:color="auto" w:fill="FFFFFF"/>
              <w:rPr>
                <w:color w:val="000000"/>
                <w:sz w:val="22"/>
                <w:szCs w:val="22"/>
              </w:rPr>
            </w:pPr>
          </w:p>
        </w:tc>
        <w:tc>
          <w:tcPr>
            <w:tcW w:w="2928" w:type="dxa"/>
          </w:tcPr>
          <w:p w14:paraId="2F2CE0AD">
            <w:pPr>
              <w:shd w:val="clear" w:color="auto" w:fill="FFFFFF"/>
              <w:rPr>
                <w:color w:val="000000"/>
                <w:sz w:val="22"/>
                <w:szCs w:val="22"/>
              </w:rPr>
            </w:pPr>
          </w:p>
        </w:tc>
      </w:tr>
      <w:tr w14:paraId="6F176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123CED1">
            <w:pPr>
              <w:rPr>
                <w:rFonts w:eastAsia="Calibri"/>
                <w:sz w:val="22"/>
                <w:szCs w:val="22"/>
                <w:lang w:eastAsia="en-US"/>
              </w:rPr>
            </w:pPr>
            <w:r>
              <w:rPr>
                <w:rFonts w:eastAsia="Calibri"/>
                <w:sz w:val="22"/>
                <w:szCs w:val="22"/>
                <w:lang w:eastAsia="en-US"/>
              </w:rPr>
              <w:t>2</w:t>
            </w:r>
          </w:p>
        </w:tc>
        <w:tc>
          <w:tcPr>
            <w:tcW w:w="2739" w:type="dxa"/>
          </w:tcPr>
          <w:p w14:paraId="55C1E2F8">
            <w:pPr>
              <w:shd w:val="clear" w:color="auto" w:fill="FFFFFF"/>
              <w:rPr>
                <w:color w:val="000000"/>
                <w:sz w:val="22"/>
                <w:szCs w:val="22"/>
              </w:rPr>
            </w:pPr>
          </w:p>
        </w:tc>
        <w:tc>
          <w:tcPr>
            <w:tcW w:w="2928" w:type="dxa"/>
          </w:tcPr>
          <w:p w14:paraId="0A2D2308">
            <w:pPr>
              <w:shd w:val="clear" w:color="auto" w:fill="FFFFFF"/>
              <w:rPr>
                <w:color w:val="000000"/>
                <w:sz w:val="22"/>
                <w:szCs w:val="22"/>
              </w:rPr>
            </w:pPr>
          </w:p>
        </w:tc>
        <w:tc>
          <w:tcPr>
            <w:tcW w:w="2928" w:type="dxa"/>
          </w:tcPr>
          <w:p w14:paraId="00A5AE2C">
            <w:pPr>
              <w:shd w:val="clear" w:color="auto" w:fill="FFFFFF"/>
              <w:rPr>
                <w:color w:val="000000"/>
                <w:sz w:val="22"/>
                <w:szCs w:val="22"/>
              </w:rPr>
            </w:pPr>
          </w:p>
        </w:tc>
      </w:tr>
      <w:tr w14:paraId="476F0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0C92054">
            <w:pPr>
              <w:rPr>
                <w:rFonts w:eastAsia="Calibri"/>
                <w:sz w:val="22"/>
                <w:szCs w:val="22"/>
                <w:lang w:eastAsia="en-US"/>
              </w:rPr>
            </w:pPr>
            <w:r>
              <w:rPr>
                <w:rFonts w:eastAsia="Calibri"/>
                <w:sz w:val="22"/>
                <w:szCs w:val="22"/>
                <w:lang w:eastAsia="en-US"/>
              </w:rPr>
              <w:t>3</w:t>
            </w:r>
          </w:p>
        </w:tc>
        <w:tc>
          <w:tcPr>
            <w:tcW w:w="2739" w:type="dxa"/>
          </w:tcPr>
          <w:p w14:paraId="6EEA178C">
            <w:pPr>
              <w:shd w:val="clear" w:color="auto" w:fill="FFFFFF"/>
              <w:rPr>
                <w:color w:val="000000"/>
                <w:sz w:val="22"/>
                <w:szCs w:val="22"/>
              </w:rPr>
            </w:pPr>
          </w:p>
        </w:tc>
        <w:tc>
          <w:tcPr>
            <w:tcW w:w="2928" w:type="dxa"/>
          </w:tcPr>
          <w:p w14:paraId="25963864">
            <w:pPr>
              <w:shd w:val="clear" w:color="auto" w:fill="FFFFFF"/>
              <w:rPr>
                <w:color w:val="000000"/>
                <w:sz w:val="22"/>
                <w:szCs w:val="22"/>
              </w:rPr>
            </w:pPr>
          </w:p>
        </w:tc>
        <w:tc>
          <w:tcPr>
            <w:tcW w:w="2928" w:type="dxa"/>
          </w:tcPr>
          <w:p w14:paraId="0EFE28C7">
            <w:pPr>
              <w:shd w:val="clear" w:color="auto" w:fill="FFFFFF"/>
              <w:rPr>
                <w:color w:val="000000"/>
                <w:sz w:val="22"/>
                <w:szCs w:val="22"/>
              </w:rPr>
            </w:pPr>
          </w:p>
        </w:tc>
      </w:tr>
      <w:tr w14:paraId="4AA96F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8C3C383">
            <w:pPr>
              <w:rPr>
                <w:rFonts w:eastAsia="Calibri"/>
                <w:sz w:val="22"/>
                <w:szCs w:val="22"/>
                <w:lang w:eastAsia="en-US"/>
              </w:rPr>
            </w:pPr>
            <w:r>
              <w:rPr>
                <w:rFonts w:eastAsia="Calibri"/>
                <w:sz w:val="22"/>
                <w:szCs w:val="22"/>
                <w:lang w:eastAsia="en-US"/>
              </w:rPr>
              <w:t>4</w:t>
            </w:r>
          </w:p>
        </w:tc>
        <w:tc>
          <w:tcPr>
            <w:tcW w:w="2739" w:type="dxa"/>
          </w:tcPr>
          <w:p w14:paraId="59302BD7">
            <w:pPr>
              <w:shd w:val="clear" w:color="auto" w:fill="FFFFFF"/>
              <w:rPr>
                <w:color w:val="000000"/>
                <w:sz w:val="22"/>
                <w:szCs w:val="22"/>
              </w:rPr>
            </w:pPr>
          </w:p>
        </w:tc>
        <w:tc>
          <w:tcPr>
            <w:tcW w:w="2928" w:type="dxa"/>
          </w:tcPr>
          <w:p w14:paraId="280EBA3D">
            <w:pPr>
              <w:shd w:val="clear" w:color="auto" w:fill="FFFFFF"/>
              <w:rPr>
                <w:color w:val="000000"/>
                <w:sz w:val="22"/>
                <w:szCs w:val="22"/>
              </w:rPr>
            </w:pPr>
          </w:p>
        </w:tc>
        <w:tc>
          <w:tcPr>
            <w:tcW w:w="2928" w:type="dxa"/>
          </w:tcPr>
          <w:p w14:paraId="580B758C">
            <w:pPr>
              <w:shd w:val="clear" w:color="auto" w:fill="FFFFFF"/>
              <w:rPr>
                <w:color w:val="000000"/>
                <w:sz w:val="22"/>
                <w:szCs w:val="22"/>
              </w:rPr>
            </w:pPr>
          </w:p>
        </w:tc>
      </w:tr>
      <w:tr w14:paraId="42572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61209978">
            <w:pPr>
              <w:rPr>
                <w:rFonts w:eastAsia="Calibri"/>
                <w:sz w:val="22"/>
                <w:szCs w:val="22"/>
                <w:lang w:eastAsia="en-US"/>
              </w:rPr>
            </w:pPr>
            <w:r>
              <w:rPr>
                <w:rFonts w:eastAsia="Calibri"/>
                <w:sz w:val="22"/>
                <w:szCs w:val="22"/>
                <w:lang w:eastAsia="en-US"/>
              </w:rPr>
              <w:t>5</w:t>
            </w:r>
          </w:p>
        </w:tc>
        <w:tc>
          <w:tcPr>
            <w:tcW w:w="2739" w:type="dxa"/>
          </w:tcPr>
          <w:p w14:paraId="3AAC7406">
            <w:pPr>
              <w:shd w:val="clear" w:color="auto" w:fill="FFFFFF"/>
              <w:rPr>
                <w:color w:val="000000"/>
                <w:sz w:val="22"/>
                <w:szCs w:val="22"/>
              </w:rPr>
            </w:pPr>
          </w:p>
        </w:tc>
        <w:tc>
          <w:tcPr>
            <w:tcW w:w="2928" w:type="dxa"/>
          </w:tcPr>
          <w:p w14:paraId="04EBE572">
            <w:pPr>
              <w:shd w:val="clear" w:color="auto" w:fill="FFFFFF"/>
              <w:rPr>
                <w:color w:val="000000"/>
                <w:sz w:val="22"/>
                <w:szCs w:val="22"/>
              </w:rPr>
            </w:pPr>
          </w:p>
        </w:tc>
        <w:tc>
          <w:tcPr>
            <w:tcW w:w="2928" w:type="dxa"/>
          </w:tcPr>
          <w:p w14:paraId="68CE0307">
            <w:pPr>
              <w:shd w:val="clear" w:color="auto" w:fill="FFFFFF"/>
              <w:rPr>
                <w:color w:val="000000"/>
                <w:sz w:val="22"/>
                <w:szCs w:val="22"/>
              </w:rPr>
            </w:pPr>
          </w:p>
        </w:tc>
      </w:tr>
      <w:tr w14:paraId="6E5142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3B58B8D">
            <w:pPr>
              <w:rPr>
                <w:rFonts w:eastAsia="Calibri"/>
                <w:sz w:val="22"/>
                <w:szCs w:val="22"/>
                <w:lang w:eastAsia="en-US"/>
              </w:rPr>
            </w:pPr>
          </w:p>
        </w:tc>
        <w:tc>
          <w:tcPr>
            <w:tcW w:w="2739" w:type="dxa"/>
          </w:tcPr>
          <w:p w14:paraId="06B775CB">
            <w:pPr>
              <w:shd w:val="clear" w:color="auto" w:fill="FFFFFF"/>
              <w:rPr>
                <w:color w:val="000000"/>
                <w:sz w:val="22"/>
                <w:szCs w:val="22"/>
              </w:rPr>
            </w:pPr>
          </w:p>
        </w:tc>
        <w:tc>
          <w:tcPr>
            <w:tcW w:w="2928" w:type="dxa"/>
          </w:tcPr>
          <w:p w14:paraId="472EB0DB">
            <w:pPr>
              <w:shd w:val="clear" w:color="auto" w:fill="FFFFFF"/>
              <w:rPr>
                <w:color w:val="000000"/>
                <w:sz w:val="22"/>
                <w:szCs w:val="22"/>
              </w:rPr>
            </w:pPr>
          </w:p>
        </w:tc>
        <w:tc>
          <w:tcPr>
            <w:tcW w:w="2928" w:type="dxa"/>
          </w:tcPr>
          <w:p w14:paraId="65439FAB">
            <w:pPr>
              <w:shd w:val="clear" w:color="auto" w:fill="FFFFFF"/>
              <w:rPr>
                <w:color w:val="000000"/>
                <w:sz w:val="22"/>
                <w:szCs w:val="22"/>
              </w:rPr>
            </w:pPr>
          </w:p>
        </w:tc>
      </w:tr>
      <w:tr w14:paraId="6FE57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E6B71BA">
            <w:pPr>
              <w:rPr>
                <w:rFonts w:eastAsia="Calibri"/>
                <w:sz w:val="22"/>
                <w:szCs w:val="22"/>
                <w:lang w:eastAsia="en-US"/>
              </w:rPr>
            </w:pPr>
          </w:p>
        </w:tc>
        <w:tc>
          <w:tcPr>
            <w:tcW w:w="2739" w:type="dxa"/>
          </w:tcPr>
          <w:p w14:paraId="3AF6D04D">
            <w:pPr>
              <w:shd w:val="clear" w:color="auto" w:fill="FFFFFF"/>
              <w:rPr>
                <w:color w:val="000000"/>
                <w:sz w:val="22"/>
                <w:szCs w:val="22"/>
              </w:rPr>
            </w:pPr>
          </w:p>
        </w:tc>
        <w:tc>
          <w:tcPr>
            <w:tcW w:w="2928" w:type="dxa"/>
          </w:tcPr>
          <w:p w14:paraId="29A1EABF">
            <w:pPr>
              <w:shd w:val="clear" w:color="auto" w:fill="FFFFFF"/>
              <w:rPr>
                <w:color w:val="000000"/>
                <w:sz w:val="22"/>
                <w:szCs w:val="22"/>
              </w:rPr>
            </w:pPr>
          </w:p>
        </w:tc>
        <w:tc>
          <w:tcPr>
            <w:tcW w:w="2928" w:type="dxa"/>
          </w:tcPr>
          <w:p w14:paraId="43B773E2">
            <w:pPr>
              <w:shd w:val="clear" w:color="auto" w:fill="FFFFFF"/>
              <w:rPr>
                <w:color w:val="000000"/>
                <w:sz w:val="22"/>
                <w:szCs w:val="22"/>
              </w:rPr>
            </w:pPr>
          </w:p>
        </w:tc>
      </w:tr>
      <w:tr w14:paraId="7F59F1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22F9621">
            <w:pPr>
              <w:rPr>
                <w:rFonts w:eastAsia="Calibri"/>
                <w:sz w:val="22"/>
                <w:szCs w:val="22"/>
                <w:lang w:eastAsia="en-US"/>
              </w:rPr>
            </w:pPr>
          </w:p>
        </w:tc>
        <w:tc>
          <w:tcPr>
            <w:tcW w:w="2739" w:type="dxa"/>
          </w:tcPr>
          <w:p w14:paraId="069F3FF1">
            <w:pPr>
              <w:shd w:val="clear" w:color="auto" w:fill="FFFFFF"/>
              <w:rPr>
                <w:color w:val="000000"/>
                <w:sz w:val="22"/>
                <w:szCs w:val="22"/>
              </w:rPr>
            </w:pPr>
          </w:p>
        </w:tc>
        <w:tc>
          <w:tcPr>
            <w:tcW w:w="2928" w:type="dxa"/>
          </w:tcPr>
          <w:p w14:paraId="2664ACC3">
            <w:pPr>
              <w:shd w:val="clear" w:color="auto" w:fill="FFFFFF"/>
              <w:rPr>
                <w:color w:val="000000"/>
                <w:sz w:val="22"/>
                <w:szCs w:val="22"/>
              </w:rPr>
            </w:pPr>
          </w:p>
        </w:tc>
        <w:tc>
          <w:tcPr>
            <w:tcW w:w="2928" w:type="dxa"/>
          </w:tcPr>
          <w:p w14:paraId="7F446EC2">
            <w:pPr>
              <w:shd w:val="clear" w:color="auto" w:fill="FFFFFF"/>
              <w:rPr>
                <w:color w:val="000000"/>
                <w:sz w:val="22"/>
                <w:szCs w:val="22"/>
              </w:rPr>
            </w:pPr>
          </w:p>
        </w:tc>
      </w:tr>
      <w:tr w14:paraId="489CE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8A4D412">
            <w:pPr>
              <w:rPr>
                <w:rFonts w:eastAsia="Calibri"/>
                <w:sz w:val="22"/>
                <w:szCs w:val="22"/>
                <w:lang w:eastAsia="en-US"/>
              </w:rPr>
            </w:pPr>
          </w:p>
        </w:tc>
        <w:tc>
          <w:tcPr>
            <w:tcW w:w="2739" w:type="dxa"/>
          </w:tcPr>
          <w:p w14:paraId="26687EB2">
            <w:pPr>
              <w:shd w:val="clear" w:color="auto" w:fill="FFFFFF"/>
              <w:rPr>
                <w:color w:val="000000"/>
                <w:sz w:val="22"/>
                <w:szCs w:val="22"/>
              </w:rPr>
            </w:pPr>
          </w:p>
        </w:tc>
        <w:tc>
          <w:tcPr>
            <w:tcW w:w="2928" w:type="dxa"/>
          </w:tcPr>
          <w:p w14:paraId="11D1496F">
            <w:pPr>
              <w:shd w:val="clear" w:color="auto" w:fill="FFFFFF"/>
              <w:rPr>
                <w:color w:val="000000"/>
                <w:sz w:val="22"/>
                <w:szCs w:val="22"/>
              </w:rPr>
            </w:pPr>
          </w:p>
        </w:tc>
        <w:tc>
          <w:tcPr>
            <w:tcW w:w="2928" w:type="dxa"/>
          </w:tcPr>
          <w:p w14:paraId="24FAE7D7">
            <w:pPr>
              <w:shd w:val="clear" w:color="auto" w:fill="FFFFFF"/>
              <w:rPr>
                <w:color w:val="000000"/>
                <w:sz w:val="22"/>
                <w:szCs w:val="22"/>
              </w:rPr>
            </w:pPr>
          </w:p>
        </w:tc>
      </w:tr>
      <w:tr w14:paraId="4AB49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4622A9CE">
            <w:pPr>
              <w:rPr>
                <w:rFonts w:eastAsia="Calibri"/>
                <w:sz w:val="22"/>
                <w:szCs w:val="22"/>
                <w:lang w:eastAsia="en-US"/>
              </w:rPr>
            </w:pPr>
          </w:p>
        </w:tc>
        <w:tc>
          <w:tcPr>
            <w:tcW w:w="2739" w:type="dxa"/>
          </w:tcPr>
          <w:p w14:paraId="3AD92CE3">
            <w:pPr>
              <w:shd w:val="clear" w:color="auto" w:fill="FFFFFF"/>
              <w:rPr>
                <w:color w:val="000000"/>
                <w:sz w:val="22"/>
                <w:szCs w:val="22"/>
              </w:rPr>
            </w:pPr>
          </w:p>
        </w:tc>
        <w:tc>
          <w:tcPr>
            <w:tcW w:w="2928" w:type="dxa"/>
          </w:tcPr>
          <w:p w14:paraId="389BCD44">
            <w:pPr>
              <w:shd w:val="clear" w:color="auto" w:fill="FFFFFF"/>
              <w:rPr>
                <w:color w:val="000000"/>
                <w:sz w:val="22"/>
                <w:szCs w:val="22"/>
              </w:rPr>
            </w:pPr>
          </w:p>
        </w:tc>
        <w:tc>
          <w:tcPr>
            <w:tcW w:w="2928" w:type="dxa"/>
          </w:tcPr>
          <w:p w14:paraId="4C1E8A83">
            <w:pPr>
              <w:shd w:val="clear" w:color="auto" w:fill="FFFFFF"/>
              <w:rPr>
                <w:color w:val="000000"/>
                <w:sz w:val="22"/>
                <w:szCs w:val="22"/>
              </w:rPr>
            </w:pPr>
          </w:p>
        </w:tc>
      </w:tr>
      <w:tr w14:paraId="376F9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C30EBD9">
            <w:pPr>
              <w:rPr>
                <w:rFonts w:eastAsia="Calibri"/>
                <w:sz w:val="22"/>
                <w:szCs w:val="22"/>
                <w:lang w:eastAsia="en-US"/>
              </w:rPr>
            </w:pPr>
          </w:p>
        </w:tc>
        <w:tc>
          <w:tcPr>
            <w:tcW w:w="2739" w:type="dxa"/>
          </w:tcPr>
          <w:p w14:paraId="4BD4882C">
            <w:pPr>
              <w:shd w:val="clear" w:color="auto" w:fill="FFFFFF"/>
              <w:rPr>
                <w:color w:val="000000"/>
                <w:sz w:val="22"/>
                <w:szCs w:val="22"/>
              </w:rPr>
            </w:pPr>
          </w:p>
        </w:tc>
        <w:tc>
          <w:tcPr>
            <w:tcW w:w="2928" w:type="dxa"/>
          </w:tcPr>
          <w:p w14:paraId="3378DD7F">
            <w:pPr>
              <w:shd w:val="clear" w:color="auto" w:fill="FFFFFF"/>
              <w:rPr>
                <w:color w:val="000000"/>
                <w:sz w:val="22"/>
                <w:szCs w:val="22"/>
              </w:rPr>
            </w:pPr>
          </w:p>
        </w:tc>
        <w:tc>
          <w:tcPr>
            <w:tcW w:w="2928" w:type="dxa"/>
          </w:tcPr>
          <w:p w14:paraId="3ED61EFD">
            <w:pPr>
              <w:shd w:val="clear" w:color="auto" w:fill="FFFFFF"/>
              <w:rPr>
                <w:color w:val="000000"/>
                <w:sz w:val="22"/>
                <w:szCs w:val="22"/>
              </w:rPr>
            </w:pPr>
          </w:p>
        </w:tc>
      </w:tr>
      <w:tr w14:paraId="709521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03AAEA8">
            <w:pPr>
              <w:rPr>
                <w:rFonts w:eastAsia="Calibri"/>
                <w:sz w:val="22"/>
                <w:szCs w:val="22"/>
                <w:lang w:eastAsia="en-US"/>
              </w:rPr>
            </w:pPr>
          </w:p>
        </w:tc>
        <w:tc>
          <w:tcPr>
            <w:tcW w:w="2739" w:type="dxa"/>
          </w:tcPr>
          <w:p w14:paraId="764B420A">
            <w:pPr>
              <w:shd w:val="clear" w:color="auto" w:fill="FFFFFF"/>
              <w:rPr>
                <w:color w:val="000000"/>
                <w:sz w:val="22"/>
                <w:szCs w:val="22"/>
              </w:rPr>
            </w:pPr>
          </w:p>
        </w:tc>
        <w:tc>
          <w:tcPr>
            <w:tcW w:w="2928" w:type="dxa"/>
          </w:tcPr>
          <w:p w14:paraId="40315FC3">
            <w:pPr>
              <w:shd w:val="clear" w:color="auto" w:fill="FFFFFF"/>
              <w:rPr>
                <w:color w:val="000000"/>
                <w:sz w:val="22"/>
                <w:szCs w:val="22"/>
              </w:rPr>
            </w:pPr>
          </w:p>
        </w:tc>
        <w:tc>
          <w:tcPr>
            <w:tcW w:w="2928" w:type="dxa"/>
          </w:tcPr>
          <w:p w14:paraId="4133857F">
            <w:pPr>
              <w:shd w:val="clear" w:color="auto" w:fill="FFFFFF"/>
              <w:rPr>
                <w:color w:val="000000"/>
                <w:sz w:val="22"/>
                <w:szCs w:val="22"/>
              </w:rPr>
            </w:pPr>
          </w:p>
        </w:tc>
      </w:tr>
      <w:tr w14:paraId="08AA35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43F301C">
            <w:pPr>
              <w:rPr>
                <w:rFonts w:eastAsia="Calibri"/>
                <w:sz w:val="22"/>
                <w:szCs w:val="22"/>
                <w:lang w:eastAsia="en-US"/>
              </w:rPr>
            </w:pPr>
          </w:p>
        </w:tc>
        <w:tc>
          <w:tcPr>
            <w:tcW w:w="2739" w:type="dxa"/>
          </w:tcPr>
          <w:p w14:paraId="27256C47">
            <w:pPr>
              <w:shd w:val="clear" w:color="auto" w:fill="FFFFFF"/>
              <w:rPr>
                <w:color w:val="000000"/>
                <w:sz w:val="22"/>
                <w:szCs w:val="22"/>
              </w:rPr>
            </w:pPr>
          </w:p>
        </w:tc>
        <w:tc>
          <w:tcPr>
            <w:tcW w:w="2928" w:type="dxa"/>
          </w:tcPr>
          <w:p w14:paraId="61B7ABEB">
            <w:pPr>
              <w:shd w:val="clear" w:color="auto" w:fill="FFFFFF"/>
              <w:rPr>
                <w:color w:val="000000"/>
                <w:sz w:val="22"/>
                <w:szCs w:val="22"/>
              </w:rPr>
            </w:pPr>
          </w:p>
        </w:tc>
        <w:tc>
          <w:tcPr>
            <w:tcW w:w="2928" w:type="dxa"/>
          </w:tcPr>
          <w:p w14:paraId="5E4B4530">
            <w:pPr>
              <w:shd w:val="clear" w:color="auto" w:fill="FFFFFF"/>
              <w:rPr>
                <w:color w:val="000000"/>
                <w:sz w:val="22"/>
                <w:szCs w:val="22"/>
              </w:rPr>
            </w:pPr>
          </w:p>
        </w:tc>
      </w:tr>
    </w:tbl>
    <w:p w14:paraId="04C316A9">
      <w:pPr>
        <w:shd w:val="clear" w:color="auto" w:fill="FFFFFF"/>
        <w:spacing w:after="150"/>
        <w:jc w:val="center"/>
        <w:rPr>
          <w:color w:val="000000"/>
          <w:sz w:val="28"/>
          <w:szCs w:val="28"/>
        </w:rPr>
      </w:pPr>
      <w:r>
        <w:rPr>
          <w:color w:val="000000"/>
          <w:sz w:val="28"/>
          <w:szCs w:val="28"/>
        </w:rPr>
        <w:br w:type="textWrapping" w:clear="all"/>
      </w:r>
    </w:p>
    <w:p w14:paraId="4B49156E">
      <w:pPr>
        <w:shd w:val="clear" w:color="auto" w:fill="FFFFFF"/>
        <w:spacing w:after="150"/>
        <w:jc w:val="center"/>
        <w:rPr>
          <w:color w:val="000000"/>
          <w:sz w:val="28"/>
          <w:szCs w:val="28"/>
        </w:rPr>
      </w:pPr>
    </w:p>
    <w:p w14:paraId="4DC7F41A">
      <w:pPr>
        <w:shd w:val="clear" w:color="auto" w:fill="FFFFFF"/>
        <w:spacing w:after="150"/>
        <w:jc w:val="center"/>
        <w:rPr>
          <w:color w:val="000000"/>
          <w:sz w:val="28"/>
          <w:szCs w:val="28"/>
        </w:rPr>
      </w:pPr>
    </w:p>
    <w:p w14:paraId="0AEC6CCE">
      <w:pPr>
        <w:shd w:val="clear" w:color="auto" w:fill="FFFFFF"/>
        <w:spacing w:after="150"/>
        <w:jc w:val="center"/>
        <w:rPr>
          <w:color w:val="000000"/>
          <w:sz w:val="28"/>
          <w:szCs w:val="28"/>
        </w:rPr>
      </w:pPr>
    </w:p>
    <w:p w14:paraId="2B16C8C5">
      <w:pPr>
        <w:shd w:val="clear" w:color="auto" w:fill="FFFFFF"/>
        <w:spacing w:after="150"/>
        <w:jc w:val="center"/>
        <w:rPr>
          <w:color w:val="000000"/>
          <w:sz w:val="28"/>
          <w:szCs w:val="28"/>
        </w:rPr>
      </w:pPr>
    </w:p>
    <w:p w14:paraId="2420EE4E">
      <w:pPr>
        <w:shd w:val="clear" w:color="auto" w:fill="FFFFFF"/>
        <w:spacing w:after="150"/>
        <w:jc w:val="center"/>
        <w:rPr>
          <w:color w:val="000000"/>
          <w:sz w:val="28"/>
          <w:szCs w:val="28"/>
        </w:rPr>
      </w:pPr>
    </w:p>
    <w:p w14:paraId="56AE9428">
      <w:pPr>
        <w:shd w:val="clear" w:color="auto" w:fill="FFFFFF"/>
        <w:spacing w:after="150"/>
        <w:jc w:val="center"/>
        <w:rPr>
          <w:b/>
          <w:color w:val="000000"/>
          <w:sz w:val="28"/>
          <w:szCs w:val="28"/>
        </w:rPr>
      </w:pPr>
      <w:r>
        <w:rPr>
          <w:b/>
          <w:color w:val="000000"/>
          <w:sz w:val="28"/>
          <w:szCs w:val="28"/>
        </w:rPr>
        <w:t>1.2.3. На схемах электростанций ВИЭ, ТЭЦ, АЭС, ГЭС указать наименование позиций с 1 и все последующие, обозначить их назначение и проставить технологические параметры (температуру, давление).</w:t>
      </w:r>
    </w:p>
    <w:p w14:paraId="0276ACB5">
      <w:pPr>
        <w:shd w:val="clear" w:color="auto" w:fill="FFFFFF"/>
        <w:spacing w:after="150"/>
        <w:jc w:val="center"/>
        <w:rPr>
          <w:color w:val="000000"/>
          <w:sz w:val="28"/>
          <w:szCs w:val="28"/>
        </w:rPr>
      </w:pPr>
      <w:r>
        <w:rPr>
          <w:color w:val="000000"/>
          <w:sz w:val="28"/>
          <w:szCs w:val="28"/>
        </w:rPr>
        <w:drawing>
          <wp:inline distT="0" distB="0" distL="0" distR="0">
            <wp:extent cx="5729605" cy="1950720"/>
            <wp:effectExtent l="0" t="0" r="635" b="0"/>
            <wp:docPr id="15" name="Рисунок 15" descr="Устройство и функционирование современной ТЭС, работающей на органическом  топливе — Черная и цветная металлургия на metallolom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Устройство и функционирование современной ТЭС, работающей на органическом  топливе — Черная и цветная металлургия на metallolome.r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49930" cy="1957640"/>
                    </a:xfrm>
                    <a:prstGeom prst="rect">
                      <a:avLst/>
                    </a:prstGeom>
                    <a:noFill/>
                    <a:ln>
                      <a:noFill/>
                    </a:ln>
                  </pic:spPr>
                </pic:pic>
              </a:graphicData>
            </a:graphic>
          </wp:inline>
        </w:drawing>
      </w:r>
    </w:p>
    <w:p w14:paraId="1DCC5DFE">
      <w:pPr>
        <w:shd w:val="clear" w:color="auto" w:fill="FFFFFF"/>
        <w:spacing w:after="150"/>
        <w:jc w:val="center"/>
        <w:rPr>
          <w:color w:val="000000"/>
          <w:sz w:val="28"/>
          <w:szCs w:val="28"/>
        </w:rPr>
      </w:pPr>
      <w:r>
        <w:rPr>
          <w:color w:val="000000"/>
          <w:sz w:val="28"/>
          <w:szCs w:val="28"/>
        </w:rPr>
        <w:t>Рисунок 1.21. Схема ТЭС</w:t>
      </w:r>
    </w:p>
    <w:p w14:paraId="443EA2A1">
      <w:pPr>
        <w:shd w:val="clear" w:color="auto" w:fill="FFFFFF"/>
        <w:spacing w:after="150"/>
        <w:jc w:val="right"/>
        <w:rPr>
          <w:color w:val="000000"/>
          <w:sz w:val="28"/>
          <w:szCs w:val="28"/>
        </w:rPr>
      </w:pPr>
      <w:r>
        <w:rPr>
          <w:color w:val="000000"/>
          <w:sz w:val="28"/>
          <w:szCs w:val="28"/>
        </w:rPr>
        <w:t>Таблица 1.7.</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
        <w:gridCol w:w="3493"/>
        <w:gridCol w:w="2256"/>
        <w:gridCol w:w="2222"/>
      </w:tblGrid>
      <w:tr w14:paraId="6CA7D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tcPr>
          <w:p w14:paraId="31F1E4AA">
            <w:pPr>
              <w:rPr>
                <w:rFonts w:eastAsia="Calibri"/>
                <w:sz w:val="22"/>
                <w:szCs w:val="22"/>
                <w:lang w:eastAsia="en-US"/>
              </w:rPr>
            </w:pPr>
          </w:p>
        </w:tc>
        <w:tc>
          <w:tcPr>
            <w:tcW w:w="3746" w:type="dxa"/>
          </w:tcPr>
          <w:p w14:paraId="27DE0FFF">
            <w:pPr>
              <w:jc w:val="center"/>
              <w:rPr>
                <w:rFonts w:eastAsia="Calibri"/>
                <w:sz w:val="22"/>
                <w:szCs w:val="22"/>
                <w:lang w:eastAsia="en-US"/>
              </w:rPr>
            </w:pPr>
            <w:r>
              <w:rPr>
                <w:rFonts w:eastAsia="Calibri"/>
                <w:sz w:val="22"/>
                <w:szCs w:val="22"/>
                <w:lang w:eastAsia="en-US"/>
              </w:rPr>
              <w:t>Определение составной части</w:t>
            </w:r>
          </w:p>
        </w:tc>
        <w:tc>
          <w:tcPr>
            <w:tcW w:w="2342" w:type="dxa"/>
          </w:tcPr>
          <w:p w14:paraId="0D1872FF">
            <w:pPr>
              <w:jc w:val="center"/>
              <w:rPr>
                <w:color w:val="000000"/>
                <w:sz w:val="22"/>
                <w:szCs w:val="22"/>
              </w:rPr>
            </w:pPr>
            <w:r>
              <w:rPr>
                <w:color w:val="000000"/>
                <w:sz w:val="22"/>
                <w:szCs w:val="22"/>
              </w:rPr>
              <w:t>Назначение</w:t>
            </w:r>
          </w:p>
        </w:tc>
        <w:tc>
          <w:tcPr>
            <w:tcW w:w="2366" w:type="dxa"/>
          </w:tcPr>
          <w:p w14:paraId="7E004D71">
            <w:pPr>
              <w:jc w:val="center"/>
              <w:rPr>
                <w:color w:val="000000"/>
                <w:sz w:val="22"/>
                <w:szCs w:val="22"/>
              </w:rPr>
            </w:pPr>
            <w:r>
              <w:rPr>
                <w:color w:val="000000"/>
                <w:sz w:val="22"/>
                <w:szCs w:val="22"/>
              </w:rPr>
              <w:t>Выявление познаний по показателям ЗХУ</w:t>
            </w:r>
          </w:p>
        </w:tc>
      </w:tr>
      <w:tr w14:paraId="3B409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E583072">
            <w:pPr>
              <w:rPr>
                <w:rFonts w:eastAsia="Calibri"/>
                <w:sz w:val="22"/>
                <w:szCs w:val="22"/>
                <w:lang w:eastAsia="en-US"/>
              </w:rPr>
            </w:pPr>
            <w:r>
              <w:rPr>
                <w:rFonts w:eastAsia="Calibri"/>
                <w:sz w:val="22"/>
                <w:szCs w:val="22"/>
                <w:lang w:eastAsia="en-US"/>
              </w:rPr>
              <w:t>1</w:t>
            </w:r>
          </w:p>
        </w:tc>
        <w:tc>
          <w:tcPr>
            <w:tcW w:w="3746" w:type="dxa"/>
          </w:tcPr>
          <w:p w14:paraId="18478612">
            <w:pPr>
              <w:rPr>
                <w:rFonts w:eastAsia="Calibri"/>
                <w:sz w:val="22"/>
                <w:szCs w:val="22"/>
                <w:lang w:eastAsia="en-US"/>
              </w:rPr>
            </w:pPr>
          </w:p>
        </w:tc>
        <w:tc>
          <w:tcPr>
            <w:tcW w:w="2342" w:type="dxa"/>
          </w:tcPr>
          <w:p w14:paraId="0AEF0F5F">
            <w:pPr>
              <w:jc w:val="both"/>
              <w:rPr>
                <w:color w:val="000000"/>
                <w:sz w:val="28"/>
                <w:szCs w:val="28"/>
              </w:rPr>
            </w:pPr>
          </w:p>
        </w:tc>
        <w:tc>
          <w:tcPr>
            <w:tcW w:w="2366" w:type="dxa"/>
          </w:tcPr>
          <w:p w14:paraId="102D7725">
            <w:pPr>
              <w:jc w:val="both"/>
              <w:rPr>
                <w:color w:val="000000"/>
                <w:sz w:val="28"/>
                <w:szCs w:val="28"/>
              </w:rPr>
            </w:pPr>
          </w:p>
        </w:tc>
      </w:tr>
      <w:tr w14:paraId="7EEE2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74C531C">
            <w:pPr>
              <w:rPr>
                <w:rFonts w:eastAsia="Calibri"/>
                <w:sz w:val="22"/>
                <w:szCs w:val="22"/>
                <w:lang w:eastAsia="en-US"/>
              </w:rPr>
            </w:pPr>
            <w:r>
              <w:rPr>
                <w:rFonts w:eastAsia="Calibri"/>
                <w:sz w:val="22"/>
                <w:szCs w:val="22"/>
                <w:lang w:eastAsia="en-US"/>
              </w:rPr>
              <w:t>2</w:t>
            </w:r>
          </w:p>
        </w:tc>
        <w:tc>
          <w:tcPr>
            <w:tcW w:w="3746" w:type="dxa"/>
          </w:tcPr>
          <w:p w14:paraId="061D1917">
            <w:pPr>
              <w:rPr>
                <w:rFonts w:eastAsia="Calibri"/>
                <w:sz w:val="22"/>
                <w:szCs w:val="22"/>
                <w:lang w:eastAsia="en-US"/>
              </w:rPr>
            </w:pPr>
          </w:p>
        </w:tc>
        <w:tc>
          <w:tcPr>
            <w:tcW w:w="2342" w:type="dxa"/>
          </w:tcPr>
          <w:p w14:paraId="25583883">
            <w:pPr>
              <w:jc w:val="both"/>
              <w:rPr>
                <w:color w:val="000000"/>
                <w:sz w:val="28"/>
                <w:szCs w:val="28"/>
              </w:rPr>
            </w:pPr>
          </w:p>
        </w:tc>
        <w:tc>
          <w:tcPr>
            <w:tcW w:w="2366" w:type="dxa"/>
          </w:tcPr>
          <w:p w14:paraId="447CB30F">
            <w:pPr>
              <w:jc w:val="both"/>
              <w:rPr>
                <w:color w:val="000000"/>
                <w:sz w:val="28"/>
                <w:szCs w:val="28"/>
              </w:rPr>
            </w:pPr>
          </w:p>
        </w:tc>
      </w:tr>
      <w:tr w14:paraId="183B1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22E137A">
            <w:pPr>
              <w:rPr>
                <w:rFonts w:eastAsia="Calibri"/>
                <w:sz w:val="22"/>
                <w:szCs w:val="22"/>
                <w:lang w:eastAsia="en-US"/>
              </w:rPr>
            </w:pPr>
            <w:r>
              <w:rPr>
                <w:rFonts w:eastAsia="Calibri"/>
                <w:sz w:val="22"/>
                <w:szCs w:val="22"/>
                <w:lang w:eastAsia="en-US"/>
              </w:rPr>
              <w:t>3</w:t>
            </w:r>
          </w:p>
        </w:tc>
        <w:tc>
          <w:tcPr>
            <w:tcW w:w="3746" w:type="dxa"/>
          </w:tcPr>
          <w:p w14:paraId="0CADF53B">
            <w:pPr>
              <w:rPr>
                <w:rFonts w:eastAsia="Calibri"/>
                <w:sz w:val="22"/>
                <w:szCs w:val="22"/>
                <w:lang w:eastAsia="en-US"/>
              </w:rPr>
            </w:pPr>
          </w:p>
        </w:tc>
        <w:tc>
          <w:tcPr>
            <w:tcW w:w="2342" w:type="dxa"/>
          </w:tcPr>
          <w:p w14:paraId="08A59DF9">
            <w:pPr>
              <w:jc w:val="both"/>
              <w:rPr>
                <w:color w:val="000000"/>
                <w:sz w:val="28"/>
                <w:szCs w:val="28"/>
              </w:rPr>
            </w:pPr>
          </w:p>
        </w:tc>
        <w:tc>
          <w:tcPr>
            <w:tcW w:w="2366" w:type="dxa"/>
          </w:tcPr>
          <w:p w14:paraId="54A9FC26">
            <w:pPr>
              <w:jc w:val="both"/>
              <w:rPr>
                <w:color w:val="000000"/>
                <w:sz w:val="28"/>
                <w:szCs w:val="28"/>
              </w:rPr>
            </w:pPr>
          </w:p>
        </w:tc>
      </w:tr>
      <w:tr w14:paraId="14F35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E998005">
            <w:pPr>
              <w:rPr>
                <w:rFonts w:eastAsia="Calibri"/>
                <w:sz w:val="22"/>
                <w:szCs w:val="22"/>
                <w:lang w:eastAsia="en-US"/>
              </w:rPr>
            </w:pPr>
            <w:r>
              <w:rPr>
                <w:rFonts w:eastAsia="Calibri"/>
                <w:sz w:val="22"/>
                <w:szCs w:val="22"/>
                <w:lang w:eastAsia="en-US"/>
              </w:rPr>
              <w:t>4</w:t>
            </w:r>
          </w:p>
        </w:tc>
        <w:tc>
          <w:tcPr>
            <w:tcW w:w="3746" w:type="dxa"/>
          </w:tcPr>
          <w:p w14:paraId="51D106D9">
            <w:pPr>
              <w:rPr>
                <w:rFonts w:eastAsia="Calibri"/>
                <w:sz w:val="22"/>
                <w:szCs w:val="22"/>
                <w:lang w:eastAsia="en-US"/>
              </w:rPr>
            </w:pPr>
          </w:p>
        </w:tc>
        <w:tc>
          <w:tcPr>
            <w:tcW w:w="2342" w:type="dxa"/>
          </w:tcPr>
          <w:p w14:paraId="5B00942A">
            <w:pPr>
              <w:jc w:val="both"/>
              <w:rPr>
                <w:color w:val="000000"/>
                <w:sz w:val="28"/>
                <w:szCs w:val="28"/>
              </w:rPr>
            </w:pPr>
          </w:p>
        </w:tc>
        <w:tc>
          <w:tcPr>
            <w:tcW w:w="2366" w:type="dxa"/>
          </w:tcPr>
          <w:p w14:paraId="4040E739">
            <w:pPr>
              <w:jc w:val="both"/>
              <w:rPr>
                <w:color w:val="000000"/>
                <w:sz w:val="28"/>
                <w:szCs w:val="28"/>
              </w:rPr>
            </w:pPr>
          </w:p>
        </w:tc>
      </w:tr>
      <w:tr w14:paraId="30845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6A9AF3C">
            <w:pPr>
              <w:rPr>
                <w:rFonts w:eastAsia="Calibri"/>
                <w:sz w:val="22"/>
                <w:szCs w:val="22"/>
                <w:lang w:eastAsia="en-US"/>
              </w:rPr>
            </w:pPr>
            <w:r>
              <w:rPr>
                <w:rFonts w:eastAsia="Calibri"/>
                <w:sz w:val="22"/>
                <w:szCs w:val="22"/>
                <w:lang w:eastAsia="en-US"/>
              </w:rPr>
              <w:t>5</w:t>
            </w:r>
          </w:p>
        </w:tc>
        <w:tc>
          <w:tcPr>
            <w:tcW w:w="3746" w:type="dxa"/>
          </w:tcPr>
          <w:p w14:paraId="46B47C05">
            <w:pPr>
              <w:rPr>
                <w:rFonts w:eastAsia="Calibri"/>
                <w:sz w:val="22"/>
                <w:szCs w:val="22"/>
                <w:lang w:eastAsia="en-US"/>
              </w:rPr>
            </w:pPr>
          </w:p>
        </w:tc>
        <w:tc>
          <w:tcPr>
            <w:tcW w:w="2342" w:type="dxa"/>
          </w:tcPr>
          <w:p w14:paraId="1506A2E3">
            <w:pPr>
              <w:jc w:val="both"/>
              <w:rPr>
                <w:color w:val="000000"/>
                <w:sz w:val="28"/>
                <w:szCs w:val="28"/>
              </w:rPr>
            </w:pPr>
          </w:p>
        </w:tc>
        <w:tc>
          <w:tcPr>
            <w:tcW w:w="2366" w:type="dxa"/>
          </w:tcPr>
          <w:p w14:paraId="3AA3947D">
            <w:pPr>
              <w:jc w:val="both"/>
              <w:rPr>
                <w:color w:val="000000"/>
                <w:sz w:val="28"/>
                <w:szCs w:val="28"/>
              </w:rPr>
            </w:pPr>
          </w:p>
        </w:tc>
      </w:tr>
      <w:tr w14:paraId="03569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02A2061">
            <w:pPr>
              <w:rPr>
                <w:rFonts w:eastAsia="Calibri"/>
                <w:sz w:val="22"/>
                <w:szCs w:val="22"/>
                <w:lang w:eastAsia="en-US"/>
              </w:rPr>
            </w:pPr>
            <w:r>
              <w:rPr>
                <w:rFonts w:eastAsia="Calibri"/>
                <w:sz w:val="22"/>
                <w:szCs w:val="22"/>
                <w:lang w:eastAsia="en-US"/>
              </w:rPr>
              <w:t>6</w:t>
            </w:r>
          </w:p>
        </w:tc>
        <w:tc>
          <w:tcPr>
            <w:tcW w:w="3746" w:type="dxa"/>
          </w:tcPr>
          <w:p w14:paraId="4B290433">
            <w:pPr>
              <w:rPr>
                <w:rFonts w:eastAsia="Calibri"/>
                <w:sz w:val="22"/>
                <w:szCs w:val="22"/>
                <w:lang w:eastAsia="en-US"/>
              </w:rPr>
            </w:pPr>
          </w:p>
        </w:tc>
        <w:tc>
          <w:tcPr>
            <w:tcW w:w="2342" w:type="dxa"/>
          </w:tcPr>
          <w:p w14:paraId="7F9305FE">
            <w:pPr>
              <w:jc w:val="both"/>
              <w:rPr>
                <w:color w:val="000000"/>
                <w:sz w:val="28"/>
                <w:szCs w:val="28"/>
              </w:rPr>
            </w:pPr>
          </w:p>
        </w:tc>
        <w:tc>
          <w:tcPr>
            <w:tcW w:w="2366" w:type="dxa"/>
          </w:tcPr>
          <w:p w14:paraId="4659EFF0">
            <w:pPr>
              <w:jc w:val="both"/>
              <w:rPr>
                <w:color w:val="000000"/>
                <w:sz w:val="28"/>
                <w:szCs w:val="28"/>
              </w:rPr>
            </w:pPr>
          </w:p>
        </w:tc>
      </w:tr>
      <w:tr w14:paraId="38D40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CF97C90">
            <w:pPr>
              <w:rPr>
                <w:rFonts w:eastAsia="Calibri"/>
                <w:sz w:val="22"/>
                <w:szCs w:val="22"/>
                <w:lang w:eastAsia="en-US"/>
              </w:rPr>
            </w:pPr>
            <w:r>
              <w:rPr>
                <w:rFonts w:eastAsia="Calibri"/>
                <w:sz w:val="22"/>
                <w:szCs w:val="22"/>
                <w:lang w:eastAsia="en-US"/>
              </w:rPr>
              <w:t>7</w:t>
            </w:r>
          </w:p>
        </w:tc>
        <w:tc>
          <w:tcPr>
            <w:tcW w:w="3746" w:type="dxa"/>
          </w:tcPr>
          <w:p w14:paraId="7A2C6A1D">
            <w:pPr>
              <w:rPr>
                <w:rFonts w:eastAsia="Calibri"/>
                <w:sz w:val="22"/>
                <w:szCs w:val="22"/>
                <w:lang w:eastAsia="en-US"/>
              </w:rPr>
            </w:pPr>
          </w:p>
        </w:tc>
        <w:tc>
          <w:tcPr>
            <w:tcW w:w="2342" w:type="dxa"/>
          </w:tcPr>
          <w:p w14:paraId="14EFD785">
            <w:pPr>
              <w:jc w:val="both"/>
              <w:rPr>
                <w:color w:val="000000"/>
                <w:sz w:val="28"/>
                <w:szCs w:val="28"/>
              </w:rPr>
            </w:pPr>
          </w:p>
        </w:tc>
        <w:tc>
          <w:tcPr>
            <w:tcW w:w="2366" w:type="dxa"/>
          </w:tcPr>
          <w:p w14:paraId="502BBBE4">
            <w:pPr>
              <w:jc w:val="both"/>
              <w:rPr>
                <w:color w:val="000000"/>
                <w:sz w:val="28"/>
                <w:szCs w:val="28"/>
              </w:rPr>
            </w:pPr>
          </w:p>
        </w:tc>
      </w:tr>
      <w:tr w14:paraId="1DFB6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9B5B093">
            <w:pPr>
              <w:rPr>
                <w:rFonts w:eastAsia="Calibri"/>
                <w:sz w:val="22"/>
                <w:szCs w:val="22"/>
                <w:lang w:eastAsia="en-US"/>
              </w:rPr>
            </w:pPr>
            <w:r>
              <w:rPr>
                <w:rFonts w:eastAsia="Calibri"/>
                <w:sz w:val="22"/>
                <w:szCs w:val="22"/>
                <w:lang w:eastAsia="en-US"/>
              </w:rPr>
              <w:t>8</w:t>
            </w:r>
          </w:p>
        </w:tc>
        <w:tc>
          <w:tcPr>
            <w:tcW w:w="3746" w:type="dxa"/>
          </w:tcPr>
          <w:p w14:paraId="0A43C123">
            <w:pPr>
              <w:rPr>
                <w:rFonts w:eastAsia="Calibri"/>
                <w:sz w:val="22"/>
                <w:szCs w:val="22"/>
                <w:lang w:eastAsia="en-US"/>
              </w:rPr>
            </w:pPr>
          </w:p>
        </w:tc>
        <w:tc>
          <w:tcPr>
            <w:tcW w:w="2342" w:type="dxa"/>
          </w:tcPr>
          <w:p w14:paraId="64550500">
            <w:pPr>
              <w:jc w:val="both"/>
              <w:rPr>
                <w:color w:val="000000"/>
                <w:sz w:val="28"/>
                <w:szCs w:val="28"/>
              </w:rPr>
            </w:pPr>
          </w:p>
        </w:tc>
        <w:tc>
          <w:tcPr>
            <w:tcW w:w="2366" w:type="dxa"/>
          </w:tcPr>
          <w:p w14:paraId="2CADAE10">
            <w:pPr>
              <w:jc w:val="both"/>
              <w:rPr>
                <w:color w:val="000000"/>
                <w:sz w:val="28"/>
                <w:szCs w:val="28"/>
              </w:rPr>
            </w:pPr>
          </w:p>
        </w:tc>
      </w:tr>
      <w:tr w14:paraId="65C6A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08D33FB">
            <w:pPr>
              <w:rPr>
                <w:rFonts w:eastAsia="Calibri"/>
                <w:sz w:val="22"/>
                <w:szCs w:val="22"/>
                <w:lang w:eastAsia="en-US"/>
              </w:rPr>
            </w:pPr>
            <w:r>
              <w:rPr>
                <w:rFonts w:eastAsia="Calibri"/>
                <w:sz w:val="22"/>
                <w:szCs w:val="22"/>
                <w:lang w:eastAsia="en-US"/>
              </w:rPr>
              <w:t>9</w:t>
            </w:r>
          </w:p>
        </w:tc>
        <w:tc>
          <w:tcPr>
            <w:tcW w:w="3746" w:type="dxa"/>
          </w:tcPr>
          <w:p w14:paraId="54100284">
            <w:pPr>
              <w:rPr>
                <w:rFonts w:eastAsia="Calibri"/>
                <w:sz w:val="22"/>
                <w:szCs w:val="22"/>
                <w:lang w:eastAsia="en-US"/>
              </w:rPr>
            </w:pPr>
          </w:p>
        </w:tc>
        <w:tc>
          <w:tcPr>
            <w:tcW w:w="2342" w:type="dxa"/>
          </w:tcPr>
          <w:p w14:paraId="053D7619">
            <w:pPr>
              <w:jc w:val="both"/>
              <w:rPr>
                <w:color w:val="000000"/>
                <w:sz w:val="28"/>
                <w:szCs w:val="28"/>
              </w:rPr>
            </w:pPr>
          </w:p>
        </w:tc>
        <w:tc>
          <w:tcPr>
            <w:tcW w:w="2366" w:type="dxa"/>
          </w:tcPr>
          <w:p w14:paraId="21E83F07">
            <w:pPr>
              <w:jc w:val="both"/>
              <w:rPr>
                <w:color w:val="000000"/>
                <w:sz w:val="28"/>
                <w:szCs w:val="28"/>
              </w:rPr>
            </w:pPr>
          </w:p>
        </w:tc>
      </w:tr>
      <w:tr w14:paraId="0A4A7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20995BD">
            <w:pPr>
              <w:rPr>
                <w:rFonts w:eastAsia="Calibri"/>
                <w:sz w:val="22"/>
                <w:szCs w:val="22"/>
                <w:lang w:eastAsia="en-US"/>
              </w:rPr>
            </w:pPr>
            <w:r>
              <w:rPr>
                <w:rFonts w:eastAsia="Calibri"/>
                <w:sz w:val="22"/>
                <w:szCs w:val="22"/>
                <w:lang w:eastAsia="en-US"/>
              </w:rPr>
              <w:t>10</w:t>
            </w:r>
          </w:p>
        </w:tc>
        <w:tc>
          <w:tcPr>
            <w:tcW w:w="3746" w:type="dxa"/>
          </w:tcPr>
          <w:p w14:paraId="14C236F3">
            <w:pPr>
              <w:rPr>
                <w:rFonts w:eastAsia="Calibri"/>
                <w:sz w:val="22"/>
                <w:szCs w:val="22"/>
                <w:lang w:eastAsia="en-US"/>
              </w:rPr>
            </w:pPr>
          </w:p>
        </w:tc>
        <w:tc>
          <w:tcPr>
            <w:tcW w:w="2342" w:type="dxa"/>
          </w:tcPr>
          <w:p w14:paraId="79C2C019">
            <w:pPr>
              <w:jc w:val="both"/>
              <w:rPr>
                <w:color w:val="000000"/>
                <w:sz w:val="28"/>
                <w:szCs w:val="28"/>
              </w:rPr>
            </w:pPr>
          </w:p>
        </w:tc>
        <w:tc>
          <w:tcPr>
            <w:tcW w:w="2366" w:type="dxa"/>
          </w:tcPr>
          <w:p w14:paraId="3F506549">
            <w:pPr>
              <w:jc w:val="both"/>
              <w:rPr>
                <w:color w:val="000000"/>
                <w:sz w:val="28"/>
                <w:szCs w:val="28"/>
              </w:rPr>
            </w:pPr>
          </w:p>
        </w:tc>
      </w:tr>
      <w:tr w14:paraId="39E750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506DA21">
            <w:pPr>
              <w:rPr>
                <w:rFonts w:eastAsia="Calibri"/>
                <w:sz w:val="22"/>
                <w:szCs w:val="22"/>
                <w:lang w:eastAsia="en-US"/>
              </w:rPr>
            </w:pPr>
            <w:r>
              <w:rPr>
                <w:rFonts w:eastAsia="Calibri"/>
                <w:sz w:val="22"/>
                <w:szCs w:val="22"/>
                <w:lang w:eastAsia="en-US"/>
              </w:rPr>
              <w:t>11</w:t>
            </w:r>
          </w:p>
        </w:tc>
        <w:tc>
          <w:tcPr>
            <w:tcW w:w="3746" w:type="dxa"/>
          </w:tcPr>
          <w:p w14:paraId="52EB09AA">
            <w:pPr>
              <w:rPr>
                <w:rFonts w:eastAsia="Calibri"/>
                <w:sz w:val="22"/>
                <w:szCs w:val="22"/>
                <w:lang w:eastAsia="en-US"/>
              </w:rPr>
            </w:pPr>
          </w:p>
        </w:tc>
        <w:tc>
          <w:tcPr>
            <w:tcW w:w="2342" w:type="dxa"/>
          </w:tcPr>
          <w:p w14:paraId="1DDEAB42">
            <w:pPr>
              <w:jc w:val="both"/>
              <w:rPr>
                <w:color w:val="000000"/>
                <w:sz w:val="28"/>
                <w:szCs w:val="28"/>
              </w:rPr>
            </w:pPr>
          </w:p>
        </w:tc>
        <w:tc>
          <w:tcPr>
            <w:tcW w:w="2366" w:type="dxa"/>
          </w:tcPr>
          <w:p w14:paraId="025CB70E">
            <w:pPr>
              <w:jc w:val="both"/>
              <w:rPr>
                <w:color w:val="000000"/>
                <w:sz w:val="28"/>
                <w:szCs w:val="28"/>
              </w:rPr>
            </w:pPr>
          </w:p>
        </w:tc>
      </w:tr>
      <w:tr w14:paraId="30D3B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A12C114">
            <w:pPr>
              <w:rPr>
                <w:rFonts w:eastAsia="Calibri"/>
                <w:sz w:val="22"/>
                <w:szCs w:val="22"/>
                <w:lang w:eastAsia="en-US"/>
              </w:rPr>
            </w:pPr>
            <w:r>
              <w:rPr>
                <w:rFonts w:eastAsia="Calibri"/>
                <w:sz w:val="22"/>
                <w:szCs w:val="22"/>
                <w:lang w:eastAsia="en-US"/>
              </w:rPr>
              <w:t>12</w:t>
            </w:r>
          </w:p>
        </w:tc>
        <w:tc>
          <w:tcPr>
            <w:tcW w:w="3746" w:type="dxa"/>
          </w:tcPr>
          <w:p w14:paraId="3C86047E">
            <w:pPr>
              <w:rPr>
                <w:rFonts w:eastAsia="Calibri"/>
                <w:sz w:val="22"/>
                <w:szCs w:val="22"/>
                <w:lang w:eastAsia="en-US"/>
              </w:rPr>
            </w:pPr>
          </w:p>
        </w:tc>
        <w:tc>
          <w:tcPr>
            <w:tcW w:w="2342" w:type="dxa"/>
          </w:tcPr>
          <w:p w14:paraId="7C6722B9">
            <w:pPr>
              <w:jc w:val="both"/>
              <w:rPr>
                <w:color w:val="000000"/>
                <w:sz w:val="28"/>
                <w:szCs w:val="28"/>
              </w:rPr>
            </w:pPr>
          </w:p>
        </w:tc>
        <w:tc>
          <w:tcPr>
            <w:tcW w:w="2366" w:type="dxa"/>
          </w:tcPr>
          <w:p w14:paraId="1BAC01F4">
            <w:pPr>
              <w:jc w:val="both"/>
              <w:rPr>
                <w:color w:val="000000"/>
                <w:sz w:val="28"/>
                <w:szCs w:val="28"/>
              </w:rPr>
            </w:pPr>
          </w:p>
        </w:tc>
      </w:tr>
      <w:tr w14:paraId="7BDCD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48AAE88">
            <w:pPr>
              <w:rPr>
                <w:rFonts w:eastAsia="Calibri"/>
                <w:sz w:val="22"/>
                <w:szCs w:val="22"/>
                <w:lang w:eastAsia="en-US"/>
              </w:rPr>
            </w:pPr>
            <w:r>
              <w:rPr>
                <w:rFonts w:eastAsia="Calibri"/>
                <w:sz w:val="22"/>
                <w:szCs w:val="22"/>
                <w:lang w:eastAsia="en-US"/>
              </w:rPr>
              <w:t>13</w:t>
            </w:r>
          </w:p>
        </w:tc>
        <w:tc>
          <w:tcPr>
            <w:tcW w:w="3746" w:type="dxa"/>
          </w:tcPr>
          <w:p w14:paraId="17567931">
            <w:pPr>
              <w:rPr>
                <w:rFonts w:eastAsia="Calibri"/>
                <w:sz w:val="22"/>
                <w:szCs w:val="22"/>
                <w:lang w:eastAsia="en-US"/>
              </w:rPr>
            </w:pPr>
          </w:p>
        </w:tc>
        <w:tc>
          <w:tcPr>
            <w:tcW w:w="2342" w:type="dxa"/>
          </w:tcPr>
          <w:p w14:paraId="6B7401D9">
            <w:pPr>
              <w:jc w:val="both"/>
              <w:rPr>
                <w:color w:val="000000"/>
                <w:sz w:val="28"/>
                <w:szCs w:val="28"/>
              </w:rPr>
            </w:pPr>
          </w:p>
        </w:tc>
        <w:tc>
          <w:tcPr>
            <w:tcW w:w="2366" w:type="dxa"/>
          </w:tcPr>
          <w:p w14:paraId="5C77D2BF">
            <w:pPr>
              <w:jc w:val="both"/>
              <w:rPr>
                <w:color w:val="000000"/>
                <w:sz w:val="28"/>
                <w:szCs w:val="28"/>
              </w:rPr>
            </w:pPr>
          </w:p>
        </w:tc>
      </w:tr>
      <w:tr w14:paraId="70522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373291D">
            <w:pPr>
              <w:rPr>
                <w:rFonts w:eastAsia="Calibri"/>
                <w:sz w:val="22"/>
                <w:szCs w:val="22"/>
                <w:lang w:eastAsia="en-US"/>
              </w:rPr>
            </w:pPr>
            <w:r>
              <w:rPr>
                <w:rFonts w:eastAsia="Calibri"/>
                <w:sz w:val="22"/>
                <w:szCs w:val="22"/>
                <w:lang w:eastAsia="en-US"/>
              </w:rPr>
              <w:t>14</w:t>
            </w:r>
          </w:p>
        </w:tc>
        <w:tc>
          <w:tcPr>
            <w:tcW w:w="3746" w:type="dxa"/>
          </w:tcPr>
          <w:p w14:paraId="53FD2E74">
            <w:pPr>
              <w:rPr>
                <w:rFonts w:eastAsia="Calibri"/>
                <w:sz w:val="22"/>
                <w:szCs w:val="22"/>
                <w:lang w:eastAsia="en-US"/>
              </w:rPr>
            </w:pPr>
          </w:p>
        </w:tc>
        <w:tc>
          <w:tcPr>
            <w:tcW w:w="2342" w:type="dxa"/>
          </w:tcPr>
          <w:p w14:paraId="32EBE7B7">
            <w:pPr>
              <w:jc w:val="both"/>
              <w:rPr>
                <w:color w:val="000000"/>
                <w:sz w:val="28"/>
                <w:szCs w:val="28"/>
              </w:rPr>
            </w:pPr>
          </w:p>
        </w:tc>
        <w:tc>
          <w:tcPr>
            <w:tcW w:w="2366" w:type="dxa"/>
          </w:tcPr>
          <w:p w14:paraId="1F252D93">
            <w:pPr>
              <w:jc w:val="both"/>
              <w:rPr>
                <w:color w:val="000000"/>
                <w:sz w:val="28"/>
                <w:szCs w:val="28"/>
              </w:rPr>
            </w:pPr>
          </w:p>
        </w:tc>
      </w:tr>
      <w:tr w14:paraId="5F6041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BDF21BA">
            <w:pPr>
              <w:rPr>
                <w:rFonts w:eastAsia="Calibri"/>
                <w:sz w:val="22"/>
                <w:szCs w:val="22"/>
                <w:lang w:eastAsia="en-US"/>
              </w:rPr>
            </w:pPr>
            <w:r>
              <w:rPr>
                <w:rFonts w:eastAsia="Calibri"/>
                <w:sz w:val="22"/>
                <w:szCs w:val="22"/>
                <w:lang w:eastAsia="en-US"/>
              </w:rPr>
              <w:t>15</w:t>
            </w:r>
          </w:p>
        </w:tc>
        <w:tc>
          <w:tcPr>
            <w:tcW w:w="3746" w:type="dxa"/>
          </w:tcPr>
          <w:p w14:paraId="5A1D9823">
            <w:pPr>
              <w:rPr>
                <w:rFonts w:eastAsia="Calibri"/>
                <w:sz w:val="22"/>
                <w:szCs w:val="22"/>
                <w:lang w:eastAsia="en-US"/>
              </w:rPr>
            </w:pPr>
          </w:p>
        </w:tc>
        <w:tc>
          <w:tcPr>
            <w:tcW w:w="2342" w:type="dxa"/>
          </w:tcPr>
          <w:p w14:paraId="3C626011">
            <w:pPr>
              <w:jc w:val="both"/>
              <w:rPr>
                <w:color w:val="000000"/>
                <w:sz w:val="28"/>
                <w:szCs w:val="28"/>
              </w:rPr>
            </w:pPr>
          </w:p>
        </w:tc>
        <w:tc>
          <w:tcPr>
            <w:tcW w:w="2366" w:type="dxa"/>
          </w:tcPr>
          <w:p w14:paraId="250C2E7D">
            <w:pPr>
              <w:jc w:val="both"/>
              <w:rPr>
                <w:color w:val="000000"/>
                <w:sz w:val="28"/>
                <w:szCs w:val="28"/>
              </w:rPr>
            </w:pPr>
          </w:p>
        </w:tc>
      </w:tr>
      <w:tr w14:paraId="5B8C4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AC6985A">
            <w:pPr>
              <w:rPr>
                <w:rFonts w:eastAsia="Calibri"/>
                <w:sz w:val="22"/>
                <w:szCs w:val="22"/>
                <w:lang w:eastAsia="en-US"/>
              </w:rPr>
            </w:pPr>
            <w:r>
              <w:rPr>
                <w:rFonts w:eastAsia="Calibri"/>
                <w:sz w:val="22"/>
                <w:szCs w:val="22"/>
                <w:lang w:eastAsia="en-US"/>
              </w:rPr>
              <w:t>16</w:t>
            </w:r>
          </w:p>
        </w:tc>
        <w:tc>
          <w:tcPr>
            <w:tcW w:w="3746" w:type="dxa"/>
          </w:tcPr>
          <w:p w14:paraId="7FCF5A02">
            <w:pPr>
              <w:rPr>
                <w:rFonts w:eastAsia="Calibri"/>
                <w:sz w:val="22"/>
                <w:szCs w:val="22"/>
                <w:lang w:eastAsia="en-US"/>
              </w:rPr>
            </w:pPr>
          </w:p>
        </w:tc>
        <w:tc>
          <w:tcPr>
            <w:tcW w:w="2342" w:type="dxa"/>
          </w:tcPr>
          <w:p w14:paraId="50BCEA19">
            <w:pPr>
              <w:jc w:val="both"/>
              <w:rPr>
                <w:color w:val="000000"/>
                <w:sz w:val="28"/>
                <w:szCs w:val="28"/>
              </w:rPr>
            </w:pPr>
          </w:p>
        </w:tc>
        <w:tc>
          <w:tcPr>
            <w:tcW w:w="2366" w:type="dxa"/>
          </w:tcPr>
          <w:p w14:paraId="7A6DA628">
            <w:pPr>
              <w:jc w:val="both"/>
              <w:rPr>
                <w:color w:val="000000"/>
                <w:sz w:val="28"/>
                <w:szCs w:val="28"/>
              </w:rPr>
            </w:pPr>
          </w:p>
        </w:tc>
      </w:tr>
      <w:tr w14:paraId="592B8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09977C5">
            <w:pPr>
              <w:rPr>
                <w:rFonts w:eastAsia="Calibri"/>
                <w:sz w:val="22"/>
                <w:szCs w:val="22"/>
                <w:lang w:eastAsia="en-US"/>
              </w:rPr>
            </w:pPr>
            <w:r>
              <w:rPr>
                <w:rFonts w:eastAsia="Calibri"/>
                <w:sz w:val="22"/>
                <w:szCs w:val="22"/>
                <w:lang w:eastAsia="en-US"/>
              </w:rPr>
              <w:t>17</w:t>
            </w:r>
          </w:p>
        </w:tc>
        <w:tc>
          <w:tcPr>
            <w:tcW w:w="3746" w:type="dxa"/>
          </w:tcPr>
          <w:p w14:paraId="0A94A0A1">
            <w:pPr>
              <w:rPr>
                <w:rFonts w:eastAsia="Calibri"/>
                <w:sz w:val="22"/>
                <w:szCs w:val="22"/>
                <w:lang w:eastAsia="en-US"/>
              </w:rPr>
            </w:pPr>
          </w:p>
        </w:tc>
        <w:tc>
          <w:tcPr>
            <w:tcW w:w="2342" w:type="dxa"/>
          </w:tcPr>
          <w:p w14:paraId="02E2EEB9">
            <w:pPr>
              <w:jc w:val="both"/>
              <w:rPr>
                <w:color w:val="000000"/>
                <w:sz w:val="28"/>
                <w:szCs w:val="28"/>
              </w:rPr>
            </w:pPr>
          </w:p>
        </w:tc>
        <w:tc>
          <w:tcPr>
            <w:tcW w:w="2366" w:type="dxa"/>
          </w:tcPr>
          <w:p w14:paraId="56ECE574">
            <w:pPr>
              <w:jc w:val="both"/>
              <w:rPr>
                <w:color w:val="000000"/>
                <w:sz w:val="28"/>
                <w:szCs w:val="28"/>
              </w:rPr>
            </w:pPr>
          </w:p>
        </w:tc>
      </w:tr>
      <w:tr w14:paraId="16F06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4EC203B">
            <w:pPr>
              <w:rPr>
                <w:rFonts w:eastAsia="Calibri"/>
                <w:sz w:val="22"/>
                <w:szCs w:val="22"/>
                <w:lang w:eastAsia="en-US"/>
              </w:rPr>
            </w:pPr>
            <w:r>
              <w:rPr>
                <w:rFonts w:eastAsia="Calibri"/>
                <w:sz w:val="22"/>
                <w:szCs w:val="22"/>
                <w:lang w:eastAsia="en-US"/>
              </w:rPr>
              <w:t>18</w:t>
            </w:r>
          </w:p>
        </w:tc>
        <w:tc>
          <w:tcPr>
            <w:tcW w:w="3746" w:type="dxa"/>
          </w:tcPr>
          <w:p w14:paraId="219D70D2">
            <w:pPr>
              <w:rPr>
                <w:rFonts w:eastAsia="Calibri"/>
                <w:sz w:val="22"/>
                <w:szCs w:val="22"/>
                <w:lang w:eastAsia="en-US"/>
              </w:rPr>
            </w:pPr>
          </w:p>
        </w:tc>
        <w:tc>
          <w:tcPr>
            <w:tcW w:w="2342" w:type="dxa"/>
          </w:tcPr>
          <w:p w14:paraId="2FFDE5A8">
            <w:pPr>
              <w:jc w:val="both"/>
              <w:rPr>
                <w:color w:val="000000"/>
                <w:sz w:val="28"/>
                <w:szCs w:val="28"/>
              </w:rPr>
            </w:pPr>
          </w:p>
        </w:tc>
        <w:tc>
          <w:tcPr>
            <w:tcW w:w="2366" w:type="dxa"/>
          </w:tcPr>
          <w:p w14:paraId="3A602ECE">
            <w:pPr>
              <w:jc w:val="both"/>
              <w:rPr>
                <w:color w:val="000000"/>
                <w:sz w:val="28"/>
                <w:szCs w:val="28"/>
              </w:rPr>
            </w:pPr>
          </w:p>
        </w:tc>
      </w:tr>
      <w:tr w14:paraId="1AA9D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FB90132">
            <w:pPr>
              <w:rPr>
                <w:rFonts w:eastAsia="Calibri"/>
                <w:sz w:val="22"/>
                <w:szCs w:val="22"/>
                <w:lang w:eastAsia="en-US"/>
              </w:rPr>
            </w:pPr>
            <w:r>
              <w:rPr>
                <w:rFonts w:eastAsia="Calibri"/>
                <w:sz w:val="22"/>
                <w:szCs w:val="22"/>
                <w:lang w:eastAsia="en-US"/>
              </w:rPr>
              <w:t>19</w:t>
            </w:r>
          </w:p>
        </w:tc>
        <w:tc>
          <w:tcPr>
            <w:tcW w:w="3746" w:type="dxa"/>
          </w:tcPr>
          <w:p w14:paraId="176FA26C">
            <w:pPr>
              <w:rPr>
                <w:rFonts w:eastAsia="Calibri"/>
                <w:sz w:val="22"/>
                <w:szCs w:val="22"/>
                <w:lang w:eastAsia="en-US"/>
              </w:rPr>
            </w:pPr>
          </w:p>
        </w:tc>
        <w:tc>
          <w:tcPr>
            <w:tcW w:w="2342" w:type="dxa"/>
          </w:tcPr>
          <w:p w14:paraId="30B6D91C">
            <w:pPr>
              <w:jc w:val="both"/>
              <w:rPr>
                <w:color w:val="000000"/>
                <w:sz w:val="28"/>
                <w:szCs w:val="28"/>
              </w:rPr>
            </w:pPr>
          </w:p>
        </w:tc>
        <w:tc>
          <w:tcPr>
            <w:tcW w:w="2366" w:type="dxa"/>
          </w:tcPr>
          <w:p w14:paraId="71B3D2C6">
            <w:pPr>
              <w:jc w:val="both"/>
              <w:rPr>
                <w:color w:val="000000"/>
                <w:sz w:val="28"/>
                <w:szCs w:val="28"/>
              </w:rPr>
            </w:pPr>
          </w:p>
        </w:tc>
      </w:tr>
      <w:tr w14:paraId="6016A0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129D802">
            <w:pPr>
              <w:rPr>
                <w:rFonts w:eastAsia="Calibri"/>
                <w:sz w:val="22"/>
                <w:szCs w:val="22"/>
                <w:lang w:eastAsia="en-US"/>
              </w:rPr>
            </w:pPr>
            <w:r>
              <w:rPr>
                <w:rFonts w:eastAsia="Calibri"/>
                <w:sz w:val="22"/>
                <w:szCs w:val="22"/>
                <w:lang w:eastAsia="en-US"/>
              </w:rPr>
              <w:t>20</w:t>
            </w:r>
          </w:p>
        </w:tc>
        <w:tc>
          <w:tcPr>
            <w:tcW w:w="3746" w:type="dxa"/>
          </w:tcPr>
          <w:p w14:paraId="3D507222">
            <w:pPr>
              <w:rPr>
                <w:rFonts w:eastAsia="Calibri"/>
                <w:sz w:val="22"/>
                <w:szCs w:val="22"/>
                <w:lang w:eastAsia="en-US"/>
              </w:rPr>
            </w:pPr>
          </w:p>
        </w:tc>
        <w:tc>
          <w:tcPr>
            <w:tcW w:w="2342" w:type="dxa"/>
          </w:tcPr>
          <w:p w14:paraId="52375F0A">
            <w:pPr>
              <w:jc w:val="both"/>
              <w:rPr>
                <w:color w:val="000000"/>
                <w:sz w:val="28"/>
                <w:szCs w:val="28"/>
              </w:rPr>
            </w:pPr>
          </w:p>
        </w:tc>
        <w:tc>
          <w:tcPr>
            <w:tcW w:w="2366" w:type="dxa"/>
          </w:tcPr>
          <w:p w14:paraId="3145DC06">
            <w:pPr>
              <w:jc w:val="both"/>
              <w:rPr>
                <w:color w:val="000000"/>
                <w:sz w:val="28"/>
                <w:szCs w:val="28"/>
              </w:rPr>
            </w:pPr>
          </w:p>
        </w:tc>
      </w:tr>
      <w:tr w14:paraId="53285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F148188">
            <w:pPr>
              <w:rPr>
                <w:rFonts w:eastAsia="Calibri"/>
                <w:sz w:val="22"/>
                <w:szCs w:val="22"/>
                <w:lang w:eastAsia="en-US"/>
              </w:rPr>
            </w:pPr>
            <w:r>
              <w:rPr>
                <w:rFonts w:eastAsia="Calibri"/>
                <w:sz w:val="22"/>
                <w:szCs w:val="22"/>
                <w:lang w:eastAsia="en-US"/>
              </w:rPr>
              <w:t>21</w:t>
            </w:r>
          </w:p>
        </w:tc>
        <w:tc>
          <w:tcPr>
            <w:tcW w:w="3746" w:type="dxa"/>
          </w:tcPr>
          <w:p w14:paraId="30BA30C0">
            <w:pPr>
              <w:rPr>
                <w:rFonts w:eastAsia="Calibri"/>
                <w:sz w:val="22"/>
                <w:szCs w:val="22"/>
                <w:lang w:eastAsia="en-US"/>
              </w:rPr>
            </w:pPr>
          </w:p>
        </w:tc>
        <w:tc>
          <w:tcPr>
            <w:tcW w:w="2342" w:type="dxa"/>
          </w:tcPr>
          <w:p w14:paraId="71ECF044">
            <w:pPr>
              <w:jc w:val="both"/>
              <w:rPr>
                <w:color w:val="000000"/>
                <w:sz w:val="28"/>
                <w:szCs w:val="28"/>
              </w:rPr>
            </w:pPr>
          </w:p>
        </w:tc>
        <w:tc>
          <w:tcPr>
            <w:tcW w:w="2366" w:type="dxa"/>
          </w:tcPr>
          <w:p w14:paraId="29CA5B96">
            <w:pPr>
              <w:jc w:val="both"/>
              <w:rPr>
                <w:color w:val="000000"/>
                <w:sz w:val="28"/>
                <w:szCs w:val="28"/>
              </w:rPr>
            </w:pPr>
          </w:p>
        </w:tc>
      </w:tr>
      <w:tr w14:paraId="4519B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ED68CCB">
            <w:pPr>
              <w:rPr>
                <w:rFonts w:eastAsia="Calibri"/>
                <w:sz w:val="22"/>
                <w:szCs w:val="22"/>
                <w:lang w:eastAsia="en-US"/>
              </w:rPr>
            </w:pPr>
            <w:r>
              <w:rPr>
                <w:rFonts w:eastAsia="Calibri"/>
                <w:sz w:val="22"/>
                <w:szCs w:val="22"/>
                <w:lang w:eastAsia="en-US"/>
              </w:rPr>
              <w:t>22</w:t>
            </w:r>
          </w:p>
        </w:tc>
        <w:tc>
          <w:tcPr>
            <w:tcW w:w="3746" w:type="dxa"/>
          </w:tcPr>
          <w:p w14:paraId="17E421BD">
            <w:pPr>
              <w:rPr>
                <w:rFonts w:eastAsia="Calibri"/>
                <w:sz w:val="22"/>
                <w:szCs w:val="22"/>
                <w:lang w:eastAsia="en-US"/>
              </w:rPr>
            </w:pPr>
          </w:p>
        </w:tc>
        <w:tc>
          <w:tcPr>
            <w:tcW w:w="2342" w:type="dxa"/>
          </w:tcPr>
          <w:p w14:paraId="25EF08E8">
            <w:pPr>
              <w:jc w:val="both"/>
              <w:rPr>
                <w:color w:val="000000"/>
                <w:sz w:val="28"/>
                <w:szCs w:val="28"/>
              </w:rPr>
            </w:pPr>
          </w:p>
        </w:tc>
        <w:tc>
          <w:tcPr>
            <w:tcW w:w="2366" w:type="dxa"/>
          </w:tcPr>
          <w:p w14:paraId="5E357D6D">
            <w:pPr>
              <w:jc w:val="both"/>
              <w:rPr>
                <w:color w:val="000000"/>
                <w:sz w:val="28"/>
                <w:szCs w:val="28"/>
              </w:rPr>
            </w:pPr>
          </w:p>
        </w:tc>
      </w:tr>
      <w:tr w14:paraId="78BD1F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618C2E7">
            <w:pPr>
              <w:rPr>
                <w:rFonts w:eastAsia="Calibri"/>
                <w:sz w:val="22"/>
                <w:szCs w:val="22"/>
                <w:lang w:eastAsia="en-US"/>
              </w:rPr>
            </w:pPr>
            <w:r>
              <w:rPr>
                <w:rFonts w:eastAsia="Calibri"/>
                <w:sz w:val="22"/>
                <w:szCs w:val="22"/>
                <w:lang w:eastAsia="en-US"/>
              </w:rPr>
              <w:t>23</w:t>
            </w:r>
          </w:p>
        </w:tc>
        <w:tc>
          <w:tcPr>
            <w:tcW w:w="3746" w:type="dxa"/>
          </w:tcPr>
          <w:p w14:paraId="7EF9BAAE">
            <w:pPr>
              <w:rPr>
                <w:rFonts w:eastAsia="Calibri"/>
                <w:sz w:val="22"/>
                <w:szCs w:val="22"/>
                <w:lang w:eastAsia="en-US"/>
              </w:rPr>
            </w:pPr>
          </w:p>
        </w:tc>
        <w:tc>
          <w:tcPr>
            <w:tcW w:w="2342" w:type="dxa"/>
          </w:tcPr>
          <w:p w14:paraId="4D7BB034">
            <w:pPr>
              <w:jc w:val="both"/>
              <w:rPr>
                <w:color w:val="000000"/>
                <w:sz w:val="28"/>
                <w:szCs w:val="28"/>
              </w:rPr>
            </w:pPr>
          </w:p>
        </w:tc>
        <w:tc>
          <w:tcPr>
            <w:tcW w:w="2366" w:type="dxa"/>
          </w:tcPr>
          <w:p w14:paraId="1D2392A2">
            <w:pPr>
              <w:jc w:val="both"/>
              <w:rPr>
                <w:color w:val="000000"/>
                <w:sz w:val="28"/>
                <w:szCs w:val="28"/>
              </w:rPr>
            </w:pPr>
          </w:p>
        </w:tc>
      </w:tr>
    </w:tbl>
    <w:p w14:paraId="0A63CDC3">
      <w:pPr>
        <w:shd w:val="clear" w:color="auto" w:fill="FFFFFF"/>
        <w:spacing w:after="150"/>
        <w:jc w:val="center"/>
        <w:rPr>
          <w:b/>
          <w:color w:val="000000"/>
          <w:sz w:val="28"/>
          <w:szCs w:val="28"/>
        </w:rPr>
      </w:pPr>
      <w:r>
        <w:rPr>
          <w:b/>
          <w:color w:val="000000"/>
          <w:sz w:val="28"/>
          <w:szCs w:val="28"/>
        </w:rPr>
        <w:t>1.2.4. На схемах электростанций ВИЭ, ТЭЦ, АЭС, ГЭС указать наименование позиций с 1 и все последующие, обозначить их назначение и проставить технологические параметры (температуру, давление).</w:t>
      </w:r>
    </w:p>
    <w:p w14:paraId="31D975A7">
      <w:pPr>
        <w:shd w:val="clear" w:color="auto" w:fill="FFFFFF"/>
        <w:spacing w:after="150"/>
        <w:rPr>
          <w:color w:val="000000"/>
          <w:sz w:val="28"/>
          <w:szCs w:val="28"/>
        </w:rPr>
      </w:pPr>
    </w:p>
    <w:p w14:paraId="7E8349E7">
      <w:pPr>
        <w:shd w:val="clear" w:color="auto" w:fill="FFFFFF"/>
        <w:spacing w:after="150"/>
        <w:rPr>
          <w:color w:val="000000"/>
          <w:sz w:val="28"/>
          <w:szCs w:val="28"/>
        </w:rPr>
      </w:pPr>
      <w:r>
        <w:rPr>
          <w:color w:val="000000"/>
          <w:sz w:val="28"/>
          <w:szCs w:val="28"/>
        </w:rPr>
        <w:drawing>
          <wp:inline distT="0" distB="0" distL="0" distR="0">
            <wp:extent cx="5408295" cy="2019300"/>
            <wp:effectExtent l="0" t="0" r="1905" b="7620"/>
            <wp:docPr id="16" name="Рисунок 16" descr="SolarEnergyIn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SolarEnergyInHouse"/>
                    <pic:cNvPicPr>
                      <a:picLocks noChangeAspect="1" noChangeArrowheads="1"/>
                    </pic:cNvPicPr>
                  </pic:nvPicPr>
                  <pic:blipFill>
                    <a:blip r:embed="rId29">
                      <a:extLst>
                        <a:ext uri="{28A0092B-C50C-407E-A947-70E740481C1C}">
                          <a14:useLocalDpi xmlns:a14="http://schemas.microsoft.com/office/drawing/2010/main" val="0"/>
                        </a:ext>
                      </a:extLst>
                    </a:blip>
                    <a:srcRect r="40558"/>
                    <a:stretch>
                      <a:fillRect/>
                    </a:stretch>
                  </pic:blipFill>
                  <pic:spPr>
                    <a:xfrm>
                      <a:off x="0" y="0"/>
                      <a:ext cx="5425262" cy="2025526"/>
                    </a:xfrm>
                    <a:prstGeom prst="rect">
                      <a:avLst/>
                    </a:prstGeom>
                    <a:noFill/>
                    <a:ln>
                      <a:noFill/>
                    </a:ln>
                  </pic:spPr>
                </pic:pic>
              </a:graphicData>
            </a:graphic>
          </wp:inline>
        </w:drawing>
      </w:r>
    </w:p>
    <w:p w14:paraId="0DB712A4">
      <w:pPr>
        <w:shd w:val="clear" w:color="auto" w:fill="FFFFFF"/>
        <w:spacing w:after="150"/>
        <w:jc w:val="center"/>
        <w:rPr>
          <w:color w:val="000000"/>
          <w:sz w:val="28"/>
          <w:szCs w:val="28"/>
        </w:rPr>
      </w:pPr>
      <w:r>
        <w:rPr>
          <w:color w:val="000000"/>
          <w:sz w:val="28"/>
          <w:szCs w:val="28"/>
        </w:rPr>
        <w:t>Рисунок 1.22. Схема ВИЭ</w:t>
      </w:r>
    </w:p>
    <w:p w14:paraId="4352CA76">
      <w:pPr>
        <w:shd w:val="clear" w:color="auto" w:fill="FFFFFF"/>
        <w:spacing w:after="150"/>
        <w:jc w:val="right"/>
        <w:rPr>
          <w:color w:val="000000"/>
          <w:sz w:val="28"/>
          <w:szCs w:val="28"/>
        </w:rPr>
      </w:pPr>
      <w:r>
        <w:rPr>
          <w:color w:val="000000"/>
          <w:sz w:val="28"/>
          <w:szCs w:val="28"/>
        </w:rPr>
        <w:t>Таблица 1.8.</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2739"/>
        <w:gridCol w:w="2928"/>
        <w:gridCol w:w="2928"/>
      </w:tblGrid>
      <w:tr w14:paraId="44EAC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1" w:type="dxa"/>
          </w:tcPr>
          <w:p w14:paraId="5A2DE323">
            <w:pPr>
              <w:shd w:val="clear" w:color="auto" w:fill="FFFFFF"/>
              <w:jc w:val="center"/>
              <w:rPr>
                <w:color w:val="000000"/>
                <w:sz w:val="22"/>
                <w:szCs w:val="22"/>
              </w:rPr>
            </w:pPr>
          </w:p>
        </w:tc>
        <w:tc>
          <w:tcPr>
            <w:tcW w:w="2739" w:type="dxa"/>
          </w:tcPr>
          <w:p w14:paraId="2D6FA07D">
            <w:pPr>
              <w:shd w:val="clear" w:color="auto" w:fill="FFFFFF"/>
              <w:jc w:val="center"/>
              <w:rPr>
                <w:color w:val="000000"/>
                <w:sz w:val="22"/>
                <w:szCs w:val="22"/>
              </w:rPr>
            </w:pPr>
            <w:r>
              <w:rPr>
                <w:color w:val="000000"/>
                <w:sz w:val="22"/>
                <w:szCs w:val="22"/>
              </w:rPr>
              <w:t>Определение составной части</w:t>
            </w:r>
          </w:p>
        </w:tc>
        <w:tc>
          <w:tcPr>
            <w:tcW w:w="2928" w:type="dxa"/>
          </w:tcPr>
          <w:p w14:paraId="2E6CAF08">
            <w:pPr>
              <w:shd w:val="clear" w:color="auto" w:fill="FFFFFF"/>
              <w:jc w:val="center"/>
              <w:rPr>
                <w:color w:val="000000"/>
                <w:sz w:val="22"/>
                <w:szCs w:val="22"/>
              </w:rPr>
            </w:pPr>
            <w:r>
              <w:rPr>
                <w:color w:val="000000"/>
                <w:sz w:val="22"/>
                <w:szCs w:val="22"/>
              </w:rPr>
              <w:t>Назначение</w:t>
            </w:r>
          </w:p>
        </w:tc>
        <w:tc>
          <w:tcPr>
            <w:tcW w:w="2928" w:type="dxa"/>
          </w:tcPr>
          <w:p w14:paraId="1A8394A9">
            <w:pPr>
              <w:shd w:val="clear" w:color="auto" w:fill="FFFFFF"/>
              <w:jc w:val="center"/>
              <w:rPr>
                <w:color w:val="000000"/>
                <w:sz w:val="22"/>
                <w:szCs w:val="22"/>
              </w:rPr>
            </w:pPr>
            <w:r>
              <w:rPr>
                <w:color w:val="000000"/>
                <w:sz w:val="22"/>
                <w:szCs w:val="22"/>
              </w:rPr>
              <w:t>Выявление познаний по показателям ЗХУ</w:t>
            </w:r>
          </w:p>
        </w:tc>
      </w:tr>
      <w:tr w14:paraId="3EB4B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DE8C504">
            <w:pPr>
              <w:rPr>
                <w:rFonts w:eastAsia="Calibri"/>
                <w:sz w:val="22"/>
                <w:szCs w:val="22"/>
                <w:lang w:eastAsia="en-US"/>
              </w:rPr>
            </w:pPr>
            <w:r>
              <w:rPr>
                <w:rFonts w:eastAsia="Calibri"/>
                <w:sz w:val="22"/>
                <w:szCs w:val="22"/>
                <w:lang w:eastAsia="en-US"/>
              </w:rPr>
              <w:t>1</w:t>
            </w:r>
          </w:p>
        </w:tc>
        <w:tc>
          <w:tcPr>
            <w:tcW w:w="2739" w:type="dxa"/>
          </w:tcPr>
          <w:p w14:paraId="65DB3452">
            <w:pPr>
              <w:shd w:val="clear" w:color="auto" w:fill="FFFFFF"/>
              <w:rPr>
                <w:color w:val="000000"/>
                <w:sz w:val="22"/>
                <w:szCs w:val="22"/>
              </w:rPr>
            </w:pPr>
          </w:p>
        </w:tc>
        <w:tc>
          <w:tcPr>
            <w:tcW w:w="2928" w:type="dxa"/>
          </w:tcPr>
          <w:p w14:paraId="25731006">
            <w:pPr>
              <w:shd w:val="clear" w:color="auto" w:fill="FFFFFF"/>
              <w:rPr>
                <w:color w:val="000000"/>
                <w:sz w:val="22"/>
                <w:szCs w:val="22"/>
              </w:rPr>
            </w:pPr>
          </w:p>
        </w:tc>
        <w:tc>
          <w:tcPr>
            <w:tcW w:w="2928" w:type="dxa"/>
          </w:tcPr>
          <w:p w14:paraId="4A3A6EAD">
            <w:pPr>
              <w:shd w:val="clear" w:color="auto" w:fill="FFFFFF"/>
              <w:rPr>
                <w:color w:val="000000"/>
                <w:sz w:val="22"/>
                <w:szCs w:val="22"/>
              </w:rPr>
            </w:pPr>
          </w:p>
        </w:tc>
      </w:tr>
      <w:tr w14:paraId="5C162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6784075">
            <w:pPr>
              <w:rPr>
                <w:rFonts w:eastAsia="Calibri"/>
                <w:sz w:val="22"/>
                <w:szCs w:val="22"/>
                <w:lang w:eastAsia="en-US"/>
              </w:rPr>
            </w:pPr>
            <w:r>
              <w:rPr>
                <w:rFonts w:eastAsia="Calibri"/>
                <w:sz w:val="22"/>
                <w:szCs w:val="22"/>
                <w:lang w:eastAsia="en-US"/>
              </w:rPr>
              <w:t>2</w:t>
            </w:r>
          </w:p>
        </w:tc>
        <w:tc>
          <w:tcPr>
            <w:tcW w:w="2739" w:type="dxa"/>
          </w:tcPr>
          <w:p w14:paraId="3E4D8978">
            <w:pPr>
              <w:shd w:val="clear" w:color="auto" w:fill="FFFFFF"/>
              <w:rPr>
                <w:color w:val="000000"/>
                <w:sz w:val="22"/>
                <w:szCs w:val="22"/>
              </w:rPr>
            </w:pPr>
          </w:p>
        </w:tc>
        <w:tc>
          <w:tcPr>
            <w:tcW w:w="2928" w:type="dxa"/>
          </w:tcPr>
          <w:p w14:paraId="3F9F8694">
            <w:pPr>
              <w:shd w:val="clear" w:color="auto" w:fill="FFFFFF"/>
              <w:rPr>
                <w:color w:val="000000"/>
                <w:sz w:val="22"/>
                <w:szCs w:val="22"/>
              </w:rPr>
            </w:pPr>
          </w:p>
        </w:tc>
        <w:tc>
          <w:tcPr>
            <w:tcW w:w="2928" w:type="dxa"/>
          </w:tcPr>
          <w:p w14:paraId="65FAA844">
            <w:pPr>
              <w:shd w:val="clear" w:color="auto" w:fill="FFFFFF"/>
              <w:rPr>
                <w:color w:val="000000"/>
                <w:sz w:val="22"/>
                <w:szCs w:val="22"/>
              </w:rPr>
            </w:pPr>
          </w:p>
        </w:tc>
      </w:tr>
      <w:tr w14:paraId="1DF61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86FF209">
            <w:pPr>
              <w:rPr>
                <w:rFonts w:eastAsia="Calibri"/>
                <w:sz w:val="22"/>
                <w:szCs w:val="22"/>
                <w:lang w:eastAsia="en-US"/>
              </w:rPr>
            </w:pPr>
            <w:r>
              <w:rPr>
                <w:rFonts w:eastAsia="Calibri"/>
                <w:sz w:val="22"/>
                <w:szCs w:val="22"/>
                <w:lang w:eastAsia="en-US"/>
              </w:rPr>
              <w:t>3</w:t>
            </w:r>
          </w:p>
        </w:tc>
        <w:tc>
          <w:tcPr>
            <w:tcW w:w="2739" w:type="dxa"/>
          </w:tcPr>
          <w:p w14:paraId="59A51B89">
            <w:pPr>
              <w:shd w:val="clear" w:color="auto" w:fill="FFFFFF"/>
              <w:rPr>
                <w:color w:val="000000"/>
                <w:sz w:val="22"/>
                <w:szCs w:val="22"/>
              </w:rPr>
            </w:pPr>
          </w:p>
        </w:tc>
        <w:tc>
          <w:tcPr>
            <w:tcW w:w="2928" w:type="dxa"/>
          </w:tcPr>
          <w:p w14:paraId="2E1E2F90">
            <w:pPr>
              <w:shd w:val="clear" w:color="auto" w:fill="FFFFFF"/>
              <w:rPr>
                <w:color w:val="000000"/>
                <w:sz w:val="22"/>
                <w:szCs w:val="22"/>
              </w:rPr>
            </w:pPr>
          </w:p>
        </w:tc>
        <w:tc>
          <w:tcPr>
            <w:tcW w:w="2928" w:type="dxa"/>
          </w:tcPr>
          <w:p w14:paraId="57136427">
            <w:pPr>
              <w:shd w:val="clear" w:color="auto" w:fill="FFFFFF"/>
              <w:rPr>
                <w:color w:val="000000"/>
                <w:sz w:val="22"/>
                <w:szCs w:val="22"/>
              </w:rPr>
            </w:pPr>
          </w:p>
        </w:tc>
      </w:tr>
      <w:tr w14:paraId="228ED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525ABD0">
            <w:pPr>
              <w:rPr>
                <w:rFonts w:eastAsia="Calibri"/>
                <w:sz w:val="22"/>
                <w:szCs w:val="22"/>
                <w:lang w:eastAsia="en-US"/>
              </w:rPr>
            </w:pPr>
            <w:r>
              <w:rPr>
                <w:rFonts w:eastAsia="Calibri"/>
                <w:sz w:val="22"/>
                <w:szCs w:val="22"/>
                <w:lang w:eastAsia="en-US"/>
              </w:rPr>
              <w:t>4</w:t>
            </w:r>
          </w:p>
        </w:tc>
        <w:tc>
          <w:tcPr>
            <w:tcW w:w="2739" w:type="dxa"/>
          </w:tcPr>
          <w:p w14:paraId="113CFAE5">
            <w:pPr>
              <w:shd w:val="clear" w:color="auto" w:fill="FFFFFF"/>
              <w:rPr>
                <w:color w:val="000000"/>
                <w:sz w:val="22"/>
                <w:szCs w:val="22"/>
              </w:rPr>
            </w:pPr>
          </w:p>
        </w:tc>
        <w:tc>
          <w:tcPr>
            <w:tcW w:w="2928" w:type="dxa"/>
          </w:tcPr>
          <w:p w14:paraId="6B71DCBC">
            <w:pPr>
              <w:shd w:val="clear" w:color="auto" w:fill="FFFFFF"/>
              <w:rPr>
                <w:color w:val="000000"/>
                <w:sz w:val="22"/>
                <w:szCs w:val="22"/>
              </w:rPr>
            </w:pPr>
          </w:p>
        </w:tc>
        <w:tc>
          <w:tcPr>
            <w:tcW w:w="2928" w:type="dxa"/>
          </w:tcPr>
          <w:p w14:paraId="0A2E0552">
            <w:pPr>
              <w:shd w:val="clear" w:color="auto" w:fill="FFFFFF"/>
              <w:rPr>
                <w:color w:val="000000"/>
                <w:sz w:val="22"/>
                <w:szCs w:val="22"/>
              </w:rPr>
            </w:pPr>
          </w:p>
        </w:tc>
      </w:tr>
      <w:tr w14:paraId="0C618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D35453C">
            <w:pPr>
              <w:rPr>
                <w:rFonts w:eastAsia="Calibri"/>
                <w:sz w:val="22"/>
                <w:szCs w:val="22"/>
                <w:lang w:eastAsia="en-US"/>
              </w:rPr>
            </w:pPr>
            <w:r>
              <w:rPr>
                <w:rFonts w:eastAsia="Calibri"/>
                <w:sz w:val="22"/>
                <w:szCs w:val="22"/>
                <w:lang w:eastAsia="en-US"/>
              </w:rPr>
              <w:t>5</w:t>
            </w:r>
          </w:p>
        </w:tc>
        <w:tc>
          <w:tcPr>
            <w:tcW w:w="2739" w:type="dxa"/>
          </w:tcPr>
          <w:p w14:paraId="5FADEC15">
            <w:pPr>
              <w:shd w:val="clear" w:color="auto" w:fill="FFFFFF"/>
              <w:rPr>
                <w:color w:val="000000"/>
                <w:sz w:val="22"/>
                <w:szCs w:val="22"/>
              </w:rPr>
            </w:pPr>
          </w:p>
        </w:tc>
        <w:tc>
          <w:tcPr>
            <w:tcW w:w="2928" w:type="dxa"/>
          </w:tcPr>
          <w:p w14:paraId="2E46C0F0">
            <w:pPr>
              <w:shd w:val="clear" w:color="auto" w:fill="FFFFFF"/>
              <w:rPr>
                <w:color w:val="000000"/>
                <w:sz w:val="22"/>
                <w:szCs w:val="22"/>
              </w:rPr>
            </w:pPr>
          </w:p>
        </w:tc>
        <w:tc>
          <w:tcPr>
            <w:tcW w:w="2928" w:type="dxa"/>
          </w:tcPr>
          <w:p w14:paraId="6B6492D3">
            <w:pPr>
              <w:shd w:val="clear" w:color="auto" w:fill="FFFFFF"/>
              <w:rPr>
                <w:color w:val="000000"/>
                <w:sz w:val="22"/>
                <w:szCs w:val="22"/>
              </w:rPr>
            </w:pPr>
          </w:p>
        </w:tc>
      </w:tr>
    </w:tbl>
    <w:p w14:paraId="14AF83E6">
      <w:pPr>
        <w:spacing w:line="360" w:lineRule="auto"/>
        <w:ind w:firstLine="709"/>
        <w:jc w:val="center"/>
        <w:rPr>
          <w:b/>
          <w:color w:val="252525"/>
          <w:sz w:val="28"/>
          <w:szCs w:val="28"/>
          <w:shd w:val="clear" w:color="auto" w:fill="FFFFFF"/>
        </w:rPr>
      </w:pPr>
    </w:p>
    <w:p w14:paraId="2C63CD59">
      <w:pPr>
        <w:spacing w:line="276" w:lineRule="auto"/>
        <w:jc w:val="center"/>
        <w:rPr>
          <w:b/>
          <w:color w:val="252525"/>
          <w:sz w:val="28"/>
          <w:szCs w:val="28"/>
          <w:shd w:val="clear" w:color="auto" w:fill="FFFFFF"/>
        </w:rPr>
      </w:pPr>
      <w:r>
        <w:rPr>
          <w:b/>
          <w:color w:val="252525"/>
          <w:sz w:val="28"/>
          <w:szCs w:val="28"/>
          <w:shd w:val="clear" w:color="auto" w:fill="FFFFFF"/>
        </w:rPr>
        <w:t xml:space="preserve">1.2.5. Структурные схемы передачи электроэнергии. Раскрыть основные принципы построения. Выявить недостатки и достоинства традиционных энергетических сетей и сетей с современными технологиями </w:t>
      </w:r>
      <w:r>
        <w:rPr>
          <w:b/>
          <w:color w:val="252525"/>
          <w:sz w:val="28"/>
          <w:szCs w:val="28"/>
          <w:shd w:val="clear" w:color="auto" w:fill="FFFFFF"/>
          <w:lang w:val="en-US"/>
        </w:rPr>
        <w:t>Smart</w:t>
      </w:r>
      <w:r>
        <w:rPr>
          <w:b/>
          <w:color w:val="252525"/>
          <w:sz w:val="28"/>
          <w:szCs w:val="28"/>
          <w:shd w:val="clear" w:color="auto" w:fill="FFFFFF"/>
        </w:rPr>
        <w:t xml:space="preserve"> </w:t>
      </w:r>
      <w:r>
        <w:rPr>
          <w:b/>
          <w:color w:val="252525"/>
          <w:sz w:val="28"/>
          <w:szCs w:val="28"/>
          <w:shd w:val="clear" w:color="auto" w:fill="FFFFFF"/>
          <w:lang w:val="en-US"/>
        </w:rPr>
        <w:t>Grid</w:t>
      </w:r>
      <w:r>
        <w:rPr>
          <w:b/>
          <w:color w:val="252525"/>
          <w:sz w:val="28"/>
          <w:szCs w:val="28"/>
          <w:shd w:val="clear" w:color="auto" w:fill="FFFFFF"/>
        </w:rPr>
        <w:t>.</w:t>
      </w:r>
    </w:p>
    <w:p w14:paraId="0BC98B0E">
      <w:pPr>
        <w:spacing w:line="360" w:lineRule="auto"/>
        <w:ind w:firstLine="709"/>
        <w:jc w:val="right"/>
        <w:rPr>
          <w:color w:val="252525"/>
          <w:sz w:val="28"/>
          <w:szCs w:val="28"/>
          <w:shd w:val="clear" w:color="auto" w:fill="FFFFFF"/>
        </w:rPr>
      </w:pPr>
      <w:r>
        <w:rPr>
          <w:color w:val="252525"/>
          <w:sz w:val="28"/>
          <w:szCs w:val="28"/>
          <w:shd w:val="clear" w:color="auto" w:fill="FFFFFF"/>
        </w:rPr>
        <w:t>Таблица 1.9.</w:t>
      </w:r>
    </w:p>
    <w:tbl>
      <w:tblPr>
        <w:tblStyle w:val="4"/>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2126"/>
        <w:gridCol w:w="2364"/>
        <w:gridCol w:w="2314"/>
        <w:gridCol w:w="1701"/>
      </w:tblGrid>
      <w:tr w14:paraId="59416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1" w:type="dxa"/>
          </w:tcPr>
          <w:p w14:paraId="4DE842A5">
            <w:pPr>
              <w:shd w:val="clear" w:color="auto" w:fill="FFFFFF"/>
              <w:jc w:val="center"/>
              <w:rPr>
                <w:color w:val="000000"/>
                <w:sz w:val="22"/>
                <w:szCs w:val="22"/>
              </w:rPr>
            </w:pPr>
          </w:p>
        </w:tc>
        <w:tc>
          <w:tcPr>
            <w:tcW w:w="2126" w:type="dxa"/>
          </w:tcPr>
          <w:p w14:paraId="6251945F">
            <w:pPr>
              <w:shd w:val="clear" w:color="auto" w:fill="FFFFFF"/>
              <w:jc w:val="center"/>
              <w:rPr>
                <w:color w:val="000000"/>
                <w:sz w:val="22"/>
                <w:szCs w:val="22"/>
              </w:rPr>
            </w:pPr>
            <w:r>
              <w:rPr>
                <w:color w:val="000000"/>
                <w:sz w:val="22"/>
                <w:szCs w:val="22"/>
              </w:rPr>
              <w:t>Виды Энергоисточников</w:t>
            </w:r>
          </w:p>
        </w:tc>
        <w:tc>
          <w:tcPr>
            <w:tcW w:w="2364" w:type="dxa"/>
          </w:tcPr>
          <w:p w14:paraId="6EB5F7F2">
            <w:pPr>
              <w:shd w:val="clear" w:color="auto" w:fill="FFFFFF"/>
              <w:jc w:val="center"/>
              <w:rPr>
                <w:color w:val="000000"/>
                <w:sz w:val="22"/>
                <w:szCs w:val="22"/>
              </w:rPr>
            </w:pPr>
            <w:r>
              <w:rPr>
                <w:color w:val="000000"/>
                <w:sz w:val="22"/>
                <w:szCs w:val="22"/>
              </w:rPr>
              <w:t xml:space="preserve">Достоинства </w:t>
            </w:r>
          </w:p>
        </w:tc>
        <w:tc>
          <w:tcPr>
            <w:tcW w:w="2314" w:type="dxa"/>
          </w:tcPr>
          <w:p w14:paraId="55F5ED48">
            <w:pPr>
              <w:shd w:val="clear" w:color="auto" w:fill="FFFFFF"/>
              <w:jc w:val="center"/>
              <w:rPr>
                <w:color w:val="000000"/>
                <w:sz w:val="22"/>
                <w:szCs w:val="22"/>
              </w:rPr>
            </w:pPr>
            <w:r>
              <w:rPr>
                <w:color w:val="000000"/>
                <w:sz w:val="22"/>
                <w:szCs w:val="22"/>
              </w:rPr>
              <w:t>Недостатки</w:t>
            </w:r>
          </w:p>
        </w:tc>
        <w:tc>
          <w:tcPr>
            <w:tcW w:w="1701" w:type="dxa"/>
          </w:tcPr>
          <w:p w14:paraId="569CD26C">
            <w:pPr>
              <w:shd w:val="clear" w:color="auto" w:fill="FFFFFF"/>
              <w:ind w:left="-250"/>
              <w:jc w:val="center"/>
              <w:rPr>
                <w:color w:val="000000"/>
                <w:sz w:val="22"/>
                <w:szCs w:val="22"/>
              </w:rPr>
            </w:pPr>
            <w:r>
              <w:rPr>
                <w:color w:val="000000"/>
                <w:sz w:val="22"/>
                <w:szCs w:val="22"/>
              </w:rPr>
              <w:t>Выяснить у преподавателя</w:t>
            </w:r>
          </w:p>
        </w:tc>
      </w:tr>
      <w:tr w14:paraId="05218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E5880D2">
            <w:pPr>
              <w:rPr>
                <w:rFonts w:eastAsia="Calibri"/>
                <w:sz w:val="22"/>
                <w:szCs w:val="22"/>
                <w:lang w:eastAsia="en-US"/>
              </w:rPr>
            </w:pPr>
            <w:r>
              <w:rPr>
                <w:rFonts w:eastAsia="Calibri"/>
                <w:sz w:val="22"/>
                <w:szCs w:val="22"/>
                <w:lang w:eastAsia="en-US"/>
              </w:rPr>
              <w:t>1</w:t>
            </w:r>
          </w:p>
        </w:tc>
        <w:tc>
          <w:tcPr>
            <w:tcW w:w="2126" w:type="dxa"/>
          </w:tcPr>
          <w:p w14:paraId="6452BE92">
            <w:pPr>
              <w:shd w:val="clear" w:color="auto" w:fill="FFFFFF"/>
              <w:rPr>
                <w:color w:val="000000"/>
                <w:sz w:val="22"/>
                <w:szCs w:val="22"/>
              </w:rPr>
            </w:pPr>
          </w:p>
        </w:tc>
        <w:tc>
          <w:tcPr>
            <w:tcW w:w="2364" w:type="dxa"/>
          </w:tcPr>
          <w:p w14:paraId="5565CF6A">
            <w:pPr>
              <w:shd w:val="clear" w:color="auto" w:fill="FFFFFF"/>
              <w:rPr>
                <w:color w:val="000000"/>
                <w:sz w:val="22"/>
                <w:szCs w:val="22"/>
              </w:rPr>
            </w:pPr>
          </w:p>
        </w:tc>
        <w:tc>
          <w:tcPr>
            <w:tcW w:w="2314" w:type="dxa"/>
          </w:tcPr>
          <w:p w14:paraId="3DD2F052">
            <w:pPr>
              <w:shd w:val="clear" w:color="auto" w:fill="FFFFFF"/>
              <w:rPr>
                <w:color w:val="000000"/>
                <w:sz w:val="22"/>
                <w:szCs w:val="22"/>
              </w:rPr>
            </w:pPr>
          </w:p>
        </w:tc>
        <w:tc>
          <w:tcPr>
            <w:tcW w:w="1701" w:type="dxa"/>
          </w:tcPr>
          <w:p w14:paraId="605A5952">
            <w:pPr>
              <w:shd w:val="clear" w:color="auto" w:fill="FFFFFF"/>
              <w:ind w:left="-864" w:firstLine="864"/>
              <w:rPr>
                <w:color w:val="000000"/>
                <w:sz w:val="22"/>
                <w:szCs w:val="22"/>
              </w:rPr>
            </w:pPr>
          </w:p>
        </w:tc>
      </w:tr>
      <w:tr w14:paraId="0354C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38482F9">
            <w:pPr>
              <w:rPr>
                <w:rFonts w:eastAsia="Calibri"/>
                <w:sz w:val="22"/>
                <w:szCs w:val="22"/>
                <w:lang w:eastAsia="en-US"/>
              </w:rPr>
            </w:pPr>
            <w:r>
              <w:rPr>
                <w:rFonts w:eastAsia="Calibri"/>
                <w:sz w:val="22"/>
                <w:szCs w:val="22"/>
                <w:lang w:eastAsia="en-US"/>
              </w:rPr>
              <w:t>2</w:t>
            </w:r>
          </w:p>
        </w:tc>
        <w:tc>
          <w:tcPr>
            <w:tcW w:w="2126" w:type="dxa"/>
          </w:tcPr>
          <w:p w14:paraId="3DA17528">
            <w:pPr>
              <w:shd w:val="clear" w:color="auto" w:fill="FFFFFF"/>
              <w:rPr>
                <w:color w:val="000000"/>
                <w:sz w:val="22"/>
                <w:szCs w:val="22"/>
              </w:rPr>
            </w:pPr>
          </w:p>
        </w:tc>
        <w:tc>
          <w:tcPr>
            <w:tcW w:w="2364" w:type="dxa"/>
          </w:tcPr>
          <w:p w14:paraId="76184C2E">
            <w:pPr>
              <w:shd w:val="clear" w:color="auto" w:fill="FFFFFF"/>
              <w:rPr>
                <w:color w:val="000000"/>
                <w:sz w:val="22"/>
                <w:szCs w:val="22"/>
              </w:rPr>
            </w:pPr>
          </w:p>
        </w:tc>
        <w:tc>
          <w:tcPr>
            <w:tcW w:w="2314" w:type="dxa"/>
          </w:tcPr>
          <w:p w14:paraId="1D2F79F3">
            <w:pPr>
              <w:shd w:val="clear" w:color="auto" w:fill="FFFFFF"/>
              <w:rPr>
                <w:color w:val="000000"/>
                <w:sz w:val="22"/>
                <w:szCs w:val="22"/>
              </w:rPr>
            </w:pPr>
          </w:p>
        </w:tc>
        <w:tc>
          <w:tcPr>
            <w:tcW w:w="1701" w:type="dxa"/>
          </w:tcPr>
          <w:p w14:paraId="41660EDB">
            <w:pPr>
              <w:shd w:val="clear" w:color="auto" w:fill="FFFFFF"/>
              <w:ind w:left="-864" w:firstLine="864"/>
              <w:rPr>
                <w:color w:val="000000"/>
                <w:sz w:val="22"/>
                <w:szCs w:val="22"/>
              </w:rPr>
            </w:pPr>
          </w:p>
        </w:tc>
      </w:tr>
      <w:tr w14:paraId="35EE5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67834118">
            <w:pPr>
              <w:rPr>
                <w:rFonts w:eastAsia="Calibri"/>
                <w:sz w:val="22"/>
                <w:szCs w:val="22"/>
                <w:lang w:eastAsia="en-US"/>
              </w:rPr>
            </w:pPr>
            <w:r>
              <w:rPr>
                <w:rFonts w:eastAsia="Calibri"/>
                <w:sz w:val="22"/>
                <w:szCs w:val="22"/>
                <w:lang w:eastAsia="en-US"/>
              </w:rPr>
              <w:t>3</w:t>
            </w:r>
          </w:p>
        </w:tc>
        <w:tc>
          <w:tcPr>
            <w:tcW w:w="2126" w:type="dxa"/>
          </w:tcPr>
          <w:p w14:paraId="316516D4">
            <w:pPr>
              <w:shd w:val="clear" w:color="auto" w:fill="FFFFFF"/>
              <w:rPr>
                <w:color w:val="000000"/>
                <w:sz w:val="22"/>
                <w:szCs w:val="22"/>
              </w:rPr>
            </w:pPr>
          </w:p>
        </w:tc>
        <w:tc>
          <w:tcPr>
            <w:tcW w:w="2364" w:type="dxa"/>
          </w:tcPr>
          <w:p w14:paraId="0E299D15">
            <w:pPr>
              <w:shd w:val="clear" w:color="auto" w:fill="FFFFFF"/>
              <w:rPr>
                <w:color w:val="000000"/>
                <w:sz w:val="22"/>
                <w:szCs w:val="22"/>
              </w:rPr>
            </w:pPr>
          </w:p>
        </w:tc>
        <w:tc>
          <w:tcPr>
            <w:tcW w:w="2314" w:type="dxa"/>
          </w:tcPr>
          <w:p w14:paraId="6D7BEED7">
            <w:pPr>
              <w:shd w:val="clear" w:color="auto" w:fill="FFFFFF"/>
              <w:rPr>
                <w:color w:val="000000"/>
                <w:sz w:val="22"/>
                <w:szCs w:val="22"/>
              </w:rPr>
            </w:pPr>
          </w:p>
        </w:tc>
        <w:tc>
          <w:tcPr>
            <w:tcW w:w="1701" w:type="dxa"/>
          </w:tcPr>
          <w:p w14:paraId="4686A17F">
            <w:pPr>
              <w:shd w:val="clear" w:color="auto" w:fill="FFFFFF"/>
              <w:ind w:left="-864" w:firstLine="864"/>
              <w:rPr>
                <w:color w:val="000000"/>
                <w:sz w:val="22"/>
                <w:szCs w:val="22"/>
              </w:rPr>
            </w:pPr>
          </w:p>
        </w:tc>
      </w:tr>
      <w:tr w14:paraId="5DCE5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132C009A">
            <w:pPr>
              <w:rPr>
                <w:rFonts w:eastAsia="Calibri"/>
                <w:sz w:val="22"/>
                <w:szCs w:val="22"/>
                <w:lang w:eastAsia="en-US"/>
              </w:rPr>
            </w:pPr>
            <w:r>
              <w:rPr>
                <w:rFonts w:eastAsia="Calibri"/>
                <w:sz w:val="22"/>
                <w:szCs w:val="22"/>
                <w:lang w:eastAsia="en-US"/>
              </w:rPr>
              <w:t>4</w:t>
            </w:r>
          </w:p>
        </w:tc>
        <w:tc>
          <w:tcPr>
            <w:tcW w:w="2126" w:type="dxa"/>
          </w:tcPr>
          <w:p w14:paraId="1A1FC879">
            <w:pPr>
              <w:shd w:val="clear" w:color="auto" w:fill="FFFFFF"/>
              <w:rPr>
                <w:color w:val="000000"/>
                <w:sz w:val="22"/>
                <w:szCs w:val="22"/>
              </w:rPr>
            </w:pPr>
          </w:p>
        </w:tc>
        <w:tc>
          <w:tcPr>
            <w:tcW w:w="2364" w:type="dxa"/>
          </w:tcPr>
          <w:p w14:paraId="505A8A18">
            <w:pPr>
              <w:shd w:val="clear" w:color="auto" w:fill="FFFFFF"/>
              <w:rPr>
                <w:color w:val="000000"/>
                <w:sz w:val="22"/>
                <w:szCs w:val="22"/>
              </w:rPr>
            </w:pPr>
          </w:p>
        </w:tc>
        <w:tc>
          <w:tcPr>
            <w:tcW w:w="2314" w:type="dxa"/>
          </w:tcPr>
          <w:p w14:paraId="3C70A724">
            <w:pPr>
              <w:shd w:val="clear" w:color="auto" w:fill="FFFFFF"/>
              <w:rPr>
                <w:color w:val="000000"/>
                <w:sz w:val="22"/>
                <w:szCs w:val="22"/>
              </w:rPr>
            </w:pPr>
          </w:p>
        </w:tc>
        <w:tc>
          <w:tcPr>
            <w:tcW w:w="1701" w:type="dxa"/>
          </w:tcPr>
          <w:p w14:paraId="48C8E38C">
            <w:pPr>
              <w:shd w:val="clear" w:color="auto" w:fill="FFFFFF"/>
              <w:ind w:left="-864" w:firstLine="864"/>
              <w:rPr>
                <w:color w:val="000000"/>
                <w:sz w:val="22"/>
                <w:szCs w:val="22"/>
              </w:rPr>
            </w:pPr>
          </w:p>
        </w:tc>
      </w:tr>
      <w:tr w14:paraId="5B734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03A8CAE">
            <w:pPr>
              <w:rPr>
                <w:rFonts w:eastAsia="Calibri"/>
                <w:sz w:val="22"/>
                <w:szCs w:val="22"/>
                <w:lang w:eastAsia="en-US"/>
              </w:rPr>
            </w:pPr>
            <w:r>
              <w:rPr>
                <w:rFonts w:eastAsia="Calibri"/>
                <w:sz w:val="22"/>
                <w:szCs w:val="22"/>
                <w:lang w:eastAsia="en-US"/>
              </w:rPr>
              <w:t>5</w:t>
            </w:r>
          </w:p>
        </w:tc>
        <w:tc>
          <w:tcPr>
            <w:tcW w:w="2126" w:type="dxa"/>
          </w:tcPr>
          <w:p w14:paraId="7133C3F4">
            <w:pPr>
              <w:shd w:val="clear" w:color="auto" w:fill="FFFFFF"/>
              <w:rPr>
                <w:color w:val="000000"/>
                <w:sz w:val="22"/>
                <w:szCs w:val="22"/>
              </w:rPr>
            </w:pPr>
          </w:p>
        </w:tc>
        <w:tc>
          <w:tcPr>
            <w:tcW w:w="2364" w:type="dxa"/>
          </w:tcPr>
          <w:p w14:paraId="69F15230">
            <w:pPr>
              <w:shd w:val="clear" w:color="auto" w:fill="FFFFFF"/>
              <w:rPr>
                <w:color w:val="000000"/>
                <w:sz w:val="22"/>
                <w:szCs w:val="22"/>
              </w:rPr>
            </w:pPr>
          </w:p>
        </w:tc>
        <w:tc>
          <w:tcPr>
            <w:tcW w:w="2314" w:type="dxa"/>
          </w:tcPr>
          <w:p w14:paraId="69EAE0AA">
            <w:pPr>
              <w:shd w:val="clear" w:color="auto" w:fill="FFFFFF"/>
              <w:rPr>
                <w:color w:val="000000"/>
                <w:sz w:val="22"/>
                <w:szCs w:val="22"/>
              </w:rPr>
            </w:pPr>
          </w:p>
        </w:tc>
        <w:tc>
          <w:tcPr>
            <w:tcW w:w="1701" w:type="dxa"/>
          </w:tcPr>
          <w:p w14:paraId="72B9C2CE">
            <w:pPr>
              <w:shd w:val="clear" w:color="auto" w:fill="FFFFFF"/>
              <w:ind w:left="-864" w:firstLine="864"/>
              <w:rPr>
                <w:color w:val="000000"/>
                <w:sz w:val="22"/>
                <w:szCs w:val="22"/>
              </w:rPr>
            </w:pPr>
          </w:p>
        </w:tc>
      </w:tr>
      <w:tr w14:paraId="1B32E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1377CE1">
            <w:pPr>
              <w:rPr>
                <w:rFonts w:eastAsia="Calibri"/>
                <w:sz w:val="22"/>
                <w:szCs w:val="22"/>
                <w:lang w:eastAsia="en-US"/>
              </w:rPr>
            </w:pPr>
          </w:p>
        </w:tc>
        <w:tc>
          <w:tcPr>
            <w:tcW w:w="2126" w:type="dxa"/>
          </w:tcPr>
          <w:p w14:paraId="78BEBE9E">
            <w:pPr>
              <w:shd w:val="clear" w:color="auto" w:fill="FFFFFF"/>
              <w:rPr>
                <w:color w:val="000000"/>
                <w:sz w:val="22"/>
                <w:szCs w:val="22"/>
              </w:rPr>
            </w:pPr>
          </w:p>
        </w:tc>
        <w:tc>
          <w:tcPr>
            <w:tcW w:w="2364" w:type="dxa"/>
          </w:tcPr>
          <w:p w14:paraId="48A3AF68">
            <w:pPr>
              <w:shd w:val="clear" w:color="auto" w:fill="FFFFFF"/>
              <w:rPr>
                <w:color w:val="000000"/>
                <w:sz w:val="22"/>
                <w:szCs w:val="22"/>
              </w:rPr>
            </w:pPr>
          </w:p>
        </w:tc>
        <w:tc>
          <w:tcPr>
            <w:tcW w:w="2314" w:type="dxa"/>
          </w:tcPr>
          <w:p w14:paraId="4A8CF3EF">
            <w:pPr>
              <w:shd w:val="clear" w:color="auto" w:fill="FFFFFF"/>
              <w:rPr>
                <w:color w:val="000000"/>
                <w:sz w:val="22"/>
                <w:szCs w:val="22"/>
              </w:rPr>
            </w:pPr>
          </w:p>
        </w:tc>
        <w:tc>
          <w:tcPr>
            <w:tcW w:w="1701" w:type="dxa"/>
          </w:tcPr>
          <w:p w14:paraId="1C76F8C9">
            <w:pPr>
              <w:shd w:val="clear" w:color="auto" w:fill="FFFFFF"/>
              <w:ind w:left="-864" w:firstLine="864"/>
              <w:rPr>
                <w:color w:val="000000"/>
                <w:sz w:val="22"/>
                <w:szCs w:val="22"/>
              </w:rPr>
            </w:pPr>
          </w:p>
        </w:tc>
      </w:tr>
      <w:tr w14:paraId="4E16A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B9A18F8">
            <w:pPr>
              <w:rPr>
                <w:rFonts w:eastAsia="Calibri"/>
                <w:sz w:val="22"/>
                <w:szCs w:val="22"/>
                <w:lang w:eastAsia="en-US"/>
              </w:rPr>
            </w:pPr>
          </w:p>
        </w:tc>
        <w:tc>
          <w:tcPr>
            <w:tcW w:w="2126" w:type="dxa"/>
          </w:tcPr>
          <w:p w14:paraId="31BC872F">
            <w:pPr>
              <w:shd w:val="clear" w:color="auto" w:fill="FFFFFF"/>
              <w:rPr>
                <w:color w:val="000000"/>
                <w:sz w:val="22"/>
                <w:szCs w:val="22"/>
              </w:rPr>
            </w:pPr>
          </w:p>
        </w:tc>
        <w:tc>
          <w:tcPr>
            <w:tcW w:w="2364" w:type="dxa"/>
          </w:tcPr>
          <w:p w14:paraId="289AEC8B">
            <w:pPr>
              <w:shd w:val="clear" w:color="auto" w:fill="FFFFFF"/>
              <w:rPr>
                <w:color w:val="000000"/>
                <w:sz w:val="22"/>
                <w:szCs w:val="22"/>
              </w:rPr>
            </w:pPr>
          </w:p>
        </w:tc>
        <w:tc>
          <w:tcPr>
            <w:tcW w:w="2314" w:type="dxa"/>
          </w:tcPr>
          <w:p w14:paraId="5A715B7F">
            <w:pPr>
              <w:shd w:val="clear" w:color="auto" w:fill="FFFFFF"/>
              <w:rPr>
                <w:color w:val="000000"/>
                <w:sz w:val="22"/>
                <w:szCs w:val="22"/>
              </w:rPr>
            </w:pPr>
          </w:p>
        </w:tc>
        <w:tc>
          <w:tcPr>
            <w:tcW w:w="1701" w:type="dxa"/>
          </w:tcPr>
          <w:p w14:paraId="49D01085">
            <w:pPr>
              <w:shd w:val="clear" w:color="auto" w:fill="FFFFFF"/>
              <w:ind w:left="-864" w:firstLine="864"/>
              <w:rPr>
                <w:color w:val="000000"/>
                <w:sz w:val="22"/>
                <w:szCs w:val="22"/>
              </w:rPr>
            </w:pPr>
          </w:p>
        </w:tc>
      </w:tr>
      <w:tr w14:paraId="0B265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5537722">
            <w:pPr>
              <w:rPr>
                <w:rFonts w:eastAsia="Calibri"/>
                <w:sz w:val="22"/>
                <w:szCs w:val="22"/>
                <w:lang w:eastAsia="en-US"/>
              </w:rPr>
            </w:pPr>
          </w:p>
        </w:tc>
        <w:tc>
          <w:tcPr>
            <w:tcW w:w="2126" w:type="dxa"/>
          </w:tcPr>
          <w:p w14:paraId="7E0E25D8">
            <w:pPr>
              <w:shd w:val="clear" w:color="auto" w:fill="FFFFFF"/>
              <w:rPr>
                <w:color w:val="000000"/>
                <w:sz w:val="22"/>
                <w:szCs w:val="22"/>
              </w:rPr>
            </w:pPr>
          </w:p>
        </w:tc>
        <w:tc>
          <w:tcPr>
            <w:tcW w:w="2364" w:type="dxa"/>
          </w:tcPr>
          <w:p w14:paraId="7FCECF25">
            <w:pPr>
              <w:shd w:val="clear" w:color="auto" w:fill="FFFFFF"/>
              <w:rPr>
                <w:color w:val="000000"/>
                <w:sz w:val="22"/>
                <w:szCs w:val="22"/>
              </w:rPr>
            </w:pPr>
          </w:p>
        </w:tc>
        <w:tc>
          <w:tcPr>
            <w:tcW w:w="2314" w:type="dxa"/>
          </w:tcPr>
          <w:p w14:paraId="3BEDAC10">
            <w:pPr>
              <w:shd w:val="clear" w:color="auto" w:fill="FFFFFF"/>
              <w:rPr>
                <w:color w:val="000000"/>
                <w:sz w:val="22"/>
                <w:szCs w:val="22"/>
              </w:rPr>
            </w:pPr>
          </w:p>
        </w:tc>
        <w:tc>
          <w:tcPr>
            <w:tcW w:w="1701" w:type="dxa"/>
          </w:tcPr>
          <w:p w14:paraId="27EEB1C3">
            <w:pPr>
              <w:shd w:val="clear" w:color="auto" w:fill="FFFFFF"/>
              <w:ind w:left="-864" w:firstLine="864"/>
              <w:rPr>
                <w:color w:val="000000"/>
                <w:sz w:val="22"/>
                <w:szCs w:val="22"/>
              </w:rPr>
            </w:pPr>
          </w:p>
        </w:tc>
      </w:tr>
      <w:tr w14:paraId="191F5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91A946D">
            <w:pPr>
              <w:rPr>
                <w:rFonts w:eastAsia="Calibri"/>
                <w:sz w:val="22"/>
                <w:szCs w:val="22"/>
                <w:lang w:eastAsia="en-US"/>
              </w:rPr>
            </w:pPr>
          </w:p>
        </w:tc>
        <w:tc>
          <w:tcPr>
            <w:tcW w:w="2126" w:type="dxa"/>
          </w:tcPr>
          <w:p w14:paraId="6BBD0318">
            <w:pPr>
              <w:shd w:val="clear" w:color="auto" w:fill="FFFFFF"/>
              <w:rPr>
                <w:color w:val="000000"/>
                <w:sz w:val="22"/>
                <w:szCs w:val="22"/>
              </w:rPr>
            </w:pPr>
          </w:p>
        </w:tc>
        <w:tc>
          <w:tcPr>
            <w:tcW w:w="2364" w:type="dxa"/>
          </w:tcPr>
          <w:p w14:paraId="4D2CA654">
            <w:pPr>
              <w:shd w:val="clear" w:color="auto" w:fill="FFFFFF"/>
              <w:rPr>
                <w:color w:val="000000"/>
                <w:sz w:val="22"/>
                <w:szCs w:val="22"/>
              </w:rPr>
            </w:pPr>
          </w:p>
        </w:tc>
        <w:tc>
          <w:tcPr>
            <w:tcW w:w="2314" w:type="dxa"/>
          </w:tcPr>
          <w:p w14:paraId="44F5D309">
            <w:pPr>
              <w:shd w:val="clear" w:color="auto" w:fill="FFFFFF"/>
              <w:rPr>
                <w:color w:val="000000"/>
                <w:sz w:val="22"/>
                <w:szCs w:val="22"/>
              </w:rPr>
            </w:pPr>
          </w:p>
        </w:tc>
        <w:tc>
          <w:tcPr>
            <w:tcW w:w="1701" w:type="dxa"/>
          </w:tcPr>
          <w:p w14:paraId="25ADD70A">
            <w:pPr>
              <w:shd w:val="clear" w:color="auto" w:fill="FFFFFF"/>
              <w:ind w:left="-864" w:firstLine="864"/>
              <w:rPr>
                <w:color w:val="000000"/>
                <w:sz w:val="22"/>
                <w:szCs w:val="22"/>
              </w:rPr>
            </w:pPr>
          </w:p>
        </w:tc>
      </w:tr>
      <w:tr w14:paraId="788BD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62F88357">
            <w:pPr>
              <w:rPr>
                <w:rFonts w:eastAsia="Calibri"/>
                <w:sz w:val="22"/>
                <w:szCs w:val="22"/>
                <w:lang w:eastAsia="en-US"/>
              </w:rPr>
            </w:pPr>
          </w:p>
        </w:tc>
        <w:tc>
          <w:tcPr>
            <w:tcW w:w="2126" w:type="dxa"/>
          </w:tcPr>
          <w:p w14:paraId="72D385D5">
            <w:pPr>
              <w:shd w:val="clear" w:color="auto" w:fill="FFFFFF"/>
              <w:rPr>
                <w:color w:val="000000"/>
                <w:sz w:val="22"/>
                <w:szCs w:val="22"/>
              </w:rPr>
            </w:pPr>
          </w:p>
        </w:tc>
        <w:tc>
          <w:tcPr>
            <w:tcW w:w="2364" w:type="dxa"/>
          </w:tcPr>
          <w:p w14:paraId="37C2256E">
            <w:pPr>
              <w:shd w:val="clear" w:color="auto" w:fill="FFFFFF"/>
              <w:rPr>
                <w:color w:val="000000"/>
                <w:sz w:val="22"/>
                <w:szCs w:val="22"/>
              </w:rPr>
            </w:pPr>
          </w:p>
        </w:tc>
        <w:tc>
          <w:tcPr>
            <w:tcW w:w="2314" w:type="dxa"/>
          </w:tcPr>
          <w:p w14:paraId="2E22B9EA">
            <w:pPr>
              <w:shd w:val="clear" w:color="auto" w:fill="FFFFFF"/>
              <w:rPr>
                <w:color w:val="000000"/>
                <w:sz w:val="22"/>
                <w:szCs w:val="22"/>
              </w:rPr>
            </w:pPr>
          </w:p>
        </w:tc>
        <w:tc>
          <w:tcPr>
            <w:tcW w:w="1701" w:type="dxa"/>
          </w:tcPr>
          <w:p w14:paraId="05430E64">
            <w:pPr>
              <w:shd w:val="clear" w:color="auto" w:fill="FFFFFF"/>
              <w:ind w:left="-864" w:firstLine="864"/>
              <w:rPr>
                <w:color w:val="000000"/>
                <w:sz w:val="22"/>
                <w:szCs w:val="22"/>
              </w:rPr>
            </w:pPr>
          </w:p>
        </w:tc>
      </w:tr>
    </w:tbl>
    <w:p w14:paraId="27DC62BB">
      <w:pPr>
        <w:shd w:val="clear" w:color="auto" w:fill="FFFFFF"/>
        <w:spacing w:line="360" w:lineRule="auto"/>
        <w:jc w:val="center"/>
        <w:rPr>
          <w:b/>
          <w:color w:val="000000"/>
          <w:sz w:val="28"/>
          <w:szCs w:val="28"/>
        </w:rPr>
      </w:pPr>
      <w:r>
        <w:rPr>
          <w:b/>
          <w:color w:val="000000"/>
          <w:sz w:val="28"/>
          <w:szCs w:val="28"/>
        </w:rPr>
        <w:t>1.2.6. По структурной схеме указать назначение элементов. Пояснить принципы построения.</w:t>
      </w:r>
    </w:p>
    <w:p w14:paraId="4CC46398">
      <w:pPr>
        <w:shd w:val="clear" w:color="auto" w:fill="FFFFFF"/>
        <w:spacing w:after="150"/>
        <w:jc w:val="center"/>
        <w:rPr>
          <w:color w:val="000000"/>
          <w:sz w:val="28"/>
          <w:szCs w:val="28"/>
        </w:rPr>
      </w:pPr>
      <w:r>
        <w:rPr>
          <w:color w:val="000000"/>
          <w:sz w:val="28"/>
          <w:szCs w:val="28"/>
        </w:rPr>
        <w:drawing>
          <wp:inline distT="0" distB="0" distL="0" distR="0">
            <wp:extent cx="5403215" cy="3208020"/>
            <wp:effectExtent l="0" t="0" r="698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10590" cy="3212399"/>
                    </a:xfrm>
                    <a:prstGeom prst="rect">
                      <a:avLst/>
                    </a:prstGeom>
                    <a:noFill/>
                  </pic:spPr>
                </pic:pic>
              </a:graphicData>
            </a:graphic>
          </wp:inline>
        </w:drawing>
      </w:r>
    </w:p>
    <w:p w14:paraId="252D98E2">
      <w:pPr>
        <w:shd w:val="clear" w:color="auto" w:fill="FFFFFF"/>
        <w:spacing w:after="150"/>
        <w:jc w:val="center"/>
        <w:rPr>
          <w:color w:val="000000"/>
          <w:sz w:val="28"/>
          <w:szCs w:val="28"/>
        </w:rPr>
      </w:pPr>
      <w:r>
        <w:rPr>
          <w:color w:val="000000"/>
          <w:sz w:val="28"/>
          <w:szCs w:val="28"/>
        </w:rPr>
        <w:t>Рисунок 1.23. Структурная схема электроснабжения</w:t>
      </w:r>
    </w:p>
    <w:p w14:paraId="614EE7B2">
      <w:pPr>
        <w:shd w:val="clear" w:color="auto" w:fill="FFFFFF"/>
        <w:spacing w:after="150"/>
        <w:jc w:val="right"/>
        <w:rPr>
          <w:color w:val="000000"/>
          <w:sz w:val="28"/>
          <w:szCs w:val="28"/>
        </w:rPr>
      </w:pPr>
      <w:r>
        <w:rPr>
          <w:color w:val="000000"/>
          <w:sz w:val="28"/>
          <w:szCs w:val="28"/>
        </w:rPr>
        <w:t>Таблица 1.10</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2739"/>
        <w:gridCol w:w="2928"/>
        <w:gridCol w:w="2928"/>
      </w:tblGrid>
      <w:tr w14:paraId="16825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B1B9073">
            <w:pPr>
              <w:shd w:val="clear" w:color="auto" w:fill="FFFFFF"/>
              <w:jc w:val="center"/>
              <w:rPr>
                <w:color w:val="000000"/>
                <w:sz w:val="22"/>
                <w:szCs w:val="22"/>
              </w:rPr>
            </w:pPr>
          </w:p>
        </w:tc>
        <w:tc>
          <w:tcPr>
            <w:tcW w:w="2739" w:type="dxa"/>
          </w:tcPr>
          <w:p w14:paraId="5B815E1F">
            <w:pPr>
              <w:shd w:val="clear" w:color="auto" w:fill="FFFFFF"/>
              <w:jc w:val="center"/>
              <w:rPr>
                <w:color w:val="000000"/>
                <w:sz w:val="22"/>
                <w:szCs w:val="22"/>
              </w:rPr>
            </w:pPr>
            <w:r>
              <w:rPr>
                <w:color w:val="000000"/>
                <w:sz w:val="22"/>
                <w:szCs w:val="22"/>
              </w:rPr>
              <w:t>Определение составной части</w:t>
            </w:r>
          </w:p>
        </w:tc>
        <w:tc>
          <w:tcPr>
            <w:tcW w:w="2928" w:type="dxa"/>
          </w:tcPr>
          <w:p w14:paraId="0D04BD02">
            <w:pPr>
              <w:shd w:val="clear" w:color="auto" w:fill="FFFFFF"/>
              <w:jc w:val="center"/>
              <w:rPr>
                <w:color w:val="000000"/>
                <w:sz w:val="22"/>
                <w:szCs w:val="22"/>
              </w:rPr>
            </w:pPr>
            <w:r>
              <w:rPr>
                <w:color w:val="000000"/>
                <w:sz w:val="22"/>
                <w:szCs w:val="22"/>
              </w:rPr>
              <w:t>Назначение</w:t>
            </w:r>
          </w:p>
        </w:tc>
        <w:tc>
          <w:tcPr>
            <w:tcW w:w="2928" w:type="dxa"/>
          </w:tcPr>
          <w:p w14:paraId="09D39EDE">
            <w:pPr>
              <w:shd w:val="clear" w:color="auto" w:fill="FFFFFF"/>
              <w:jc w:val="center"/>
              <w:rPr>
                <w:color w:val="000000"/>
                <w:sz w:val="22"/>
                <w:szCs w:val="22"/>
              </w:rPr>
            </w:pPr>
            <w:r>
              <w:rPr>
                <w:color w:val="000000"/>
                <w:sz w:val="22"/>
                <w:szCs w:val="22"/>
              </w:rPr>
              <w:t>Выявление познаний по показателям ЗХУ</w:t>
            </w:r>
          </w:p>
        </w:tc>
      </w:tr>
      <w:tr w14:paraId="19CD5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0C6B5CB">
            <w:pPr>
              <w:rPr>
                <w:rFonts w:eastAsia="Calibri"/>
                <w:sz w:val="22"/>
                <w:szCs w:val="22"/>
                <w:lang w:eastAsia="en-US"/>
              </w:rPr>
            </w:pPr>
            <w:r>
              <w:rPr>
                <w:rFonts w:eastAsia="Calibri"/>
                <w:sz w:val="22"/>
                <w:szCs w:val="22"/>
                <w:lang w:eastAsia="en-US"/>
              </w:rPr>
              <w:t>1</w:t>
            </w:r>
          </w:p>
        </w:tc>
        <w:tc>
          <w:tcPr>
            <w:tcW w:w="2739" w:type="dxa"/>
          </w:tcPr>
          <w:p w14:paraId="0238EDA3">
            <w:pPr>
              <w:shd w:val="clear" w:color="auto" w:fill="FFFFFF"/>
              <w:rPr>
                <w:color w:val="000000"/>
                <w:sz w:val="22"/>
                <w:szCs w:val="22"/>
              </w:rPr>
            </w:pPr>
          </w:p>
        </w:tc>
        <w:tc>
          <w:tcPr>
            <w:tcW w:w="2928" w:type="dxa"/>
          </w:tcPr>
          <w:p w14:paraId="5D01453A">
            <w:pPr>
              <w:shd w:val="clear" w:color="auto" w:fill="FFFFFF"/>
              <w:rPr>
                <w:color w:val="000000"/>
                <w:sz w:val="22"/>
                <w:szCs w:val="22"/>
              </w:rPr>
            </w:pPr>
          </w:p>
        </w:tc>
        <w:tc>
          <w:tcPr>
            <w:tcW w:w="2928" w:type="dxa"/>
          </w:tcPr>
          <w:p w14:paraId="14C9B910">
            <w:pPr>
              <w:shd w:val="clear" w:color="auto" w:fill="FFFFFF"/>
              <w:rPr>
                <w:color w:val="000000"/>
                <w:sz w:val="22"/>
                <w:szCs w:val="22"/>
              </w:rPr>
            </w:pPr>
          </w:p>
        </w:tc>
      </w:tr>
      <w:tr w14:paraId="076AA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4835B94">
            <w:pPr>
              <w:rPr>
                <w:rFonts w:eastAsia="Calibri"/>
                <w:sz w:val="22"/>
                <w:szCs w:val="22"/>
                <w:lang w:eastAsia="en-US"/>
              </w:rPr>
            </w:pPr>
            <w:r>
              <w:rPr>
                <w:rFonts w:eastAsia="Calibri"/>
                <w:sz w:val="22"/>
                <w:szCs w:val="22"/>
                <w:lang w:eastAsia="en-US"/>
              </w:rPr>
              <w:t>2</w:t>
            </w:r>
          </w:p>
        </w:tc>
        <w:tc>
          <w:tcPr>
            <w:tcW w:w="2739" w:type="dxa"/>
          </w:tcPr>
          <w:p w14:paraId="6E5D2A75">
            <w:pPr>
              <w:shd w:val="clear" w:color="auto" w:fill="FFFFFF"/>
              <w:rPr>
                <w:color w:val="000000"/>
                <w:sz w:val="22"/>
                <w:szCs w:val="22"/>
              </w:rPr>
            </w:pPr>
          </w:p>
        </w:tc>
        <w:tc>
          <w:tcPr>
            <w:tcW w:w="2928" w:type="dxa"/>
          </w:tcPr>
          <w:p w14:paraId="0732C7B6">
            <w:pPr>
              <w:shd w:val="clear" w:color="auto" w:fill="FFFFFF"/>
              <w:rPr>
                <w:color w:val="000000"/>
                <w:sz w:val="22"/>
                <w:szCs w:val="22"/>
              </w:rPr>
            </w:pPr>
          </w:p>
        </w:tc>
        <w:tc>
          <w:tcPr>
            <w:tcW w:w="2928" w:type="dxa"/>
          </w:tcPr>
          <w:p w14:paraId="422458AD">
            <w:pPr>
              <w:shd w:val="clear" w:color="auto" w:fill="FFFFFF"/>
              <w:rPr>
                <w:color w:val="000000"/>
                <w:sz w:val="22"/>
                <w:szCs w:val="22"/>
              </w:rPr>
            </w:pPr>
          </w:p>
        </w:tc>
      </w:tr>
      <w:tr w14:paraId="35CA6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2117AEB">
            <w:pPr>
              <w:rPr>
                <w:rFonts w:eastAsia="Calibri"/>
                <w:sz w:val="22"/>
                <w:szCs w:val="22"/>
                <w:lang w:eastAsia="en-US"/>
              </w:rPr>
            </w:pPr>
            <w:r>
              <w:rPr>
                <w:rFonts w:eastAsia="Calibri"/>
                <w:sz w:val="22"/>
                <w:szCs w:val="22"/>
                <w:lang w:eastAsia="en-US"/>
              </w:rPr>
              <w:t>3</w:t>
            </w:r>
          </w:p>
        </w:tc>
        <w:tc>
          <w:tcPr>
            <w:tcW w:w="2739" w:type="dxa"/>
          </w:tcPr>
          <w:p w14:paraId="13A548EA">
            <w:pPr>
              <w:shd w:val="clear" w:color="auto" w:fill="FFFFFF"/>
              <w:rPr>
                <w:color w:val="000000"/>
                <w:sz w:val="22"/>
                <w:szCs w:val="22"/>
              </w:rPr>
            </w:pPr>
          </w:p>
        </w:tc>
        <w:tc>
          <w:tcPr>
            <w:tcW w:w="2928" w:type="dxa"/>
          </w:tcPr>
          <w:p w14:paraId="46EAEDAF">
            <w:pPr>
              <w:shd w:val="clear" w:color="auto" w:fill="FFFFFF"/>
              <w:rPr>
                <w:color w:val="000000"/>
                <w:sz w:val="22"/>
                <w:szCs w:val="22"/>
              </w:rPr>
            </w:pPr>
          </w:p>
        </w:tc>
        <w:tc>
          <w:tcPr>
            <w:tcW w:w="2928" w:type="dxa"/>
          </w:tcPr>
          <w:p w14:paraId="3DAD20A6">
            <w:pPr>
              <w:shd w:val="clear" w:color="auto" w:fill="FFFFFF"/>
              <w:rPr>
                <w:color w:val="000000"/>
                <w:sz w:val="22"/>
                <w:szCs w:val="22"/>
              </w:rPr>
            </w:pPr>
          </w:p>
        </w:tc>
      </w:tr>
      <w:tr w14:paraId="752AA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07DBD44">
            <w:pPr>
              <w:rPr>
                <w:rFonts w:eastAsia="Calibri"/>
                <w:sz w:val="22"/>
                <w:szCs w:val="22"/>
                <w:lang w:eastAsia="en-US"/>
              </w:rPr>
            </w:pPr>
            <w:r>
              <w:rPr>
                <w:rFonts w:eastAsia="Calibri"/>
                <w:sz w:val="22"/>
                <w:szCs w:val="22"/>
                <w:lang w:eastAsia="en-US"/>
              </w:rPr>
              <w:t>4</w:t>
            </w:r>
          </w:p>
        </w:tc>
        <w:tc>
          <w:tcPr>
            <w:tcW w:w="2739" w:type="dxa"/>
          </w:tcPr>
          <w:p w14:paraId="62D2B9D6">
            <w:pPr>
              <w:shd w:val="clear" w:color="auto" w:fill="FFFFFF"/>
              <w:rPr>
                <w:color w:val="000000"/>
                <w:sz w:val="22"/>
                <w:szCs w:val="22"/>
              </w:rPr>
            </w:pPr>
          </w:p>
        </w:tc>
        <w:tc>
          <w:tcPr>
            <w:tcW w:w="2928" w:type="dxa"/>
          </w:tcPr>
          <w:p w14:paraId="4930224E">
            <w:pPr>
              <w:shd w:val="clear" w:color="auto" w:fill="FFFFFF"/>
              <w:rPr>
                <w:color w:val="000000"/>
                <w:sz w:val="22"/>
                <w:szCs w:val="22"/>
              </w:rPr>
            </w:pPr>
          </w:p>
        </w:tc>
        <w:tc>
          <w:tcPr>
            <w:tcW w:w="2928" w:type="dxa"/>
          </w:tcPr>
          <w:p w14:paraId="56A0E2D3">
            <w:pPr>
              <w:shd w:val="clear" w:color="auto" w:fill="FFFFFF"/>
              <w:rPr>
                <w:color w:val="000000"/>
                <w:sz w:val="22"/>
                <w:szCs w:val="22"/>
              </w:rPr>
            </w:pPr>
          </w:p>
        </w:tc>
      </w:tr>
      <w:tr w14:paraId="204D9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03C7B2E">
            <w:pPr>
              <w:rPr>
                <w:rFonts w:eastAsia="Calibri"/>
                <w:sz w:val="22"/>
                <w:szCs w:val="22"/>
                <w:lang w:eastAsia="en-US"/>
              </w:rPr>
            </w:pPr>
            <w:r>
              <w:rPr>
                <w:rFonts w:eastAsia="Calibri"/>
                <w:sz w:val="22"/>
                <w:szCs w:val="22"/>
                <w:lang w:eastAsia="en-US"/>
              </w:rPr>
              <w:t>5</w:t>
            </w:r>
          </w:p>
        </w:tc>
        <w:tc>
          <w:tcPr>
            <w:tcW w:w="2739" w:type="dxa"/>
          </w:tcPr>
          <w:p w14:paraId="2B4E34E8">
            <w:pPr>
              <w:shd w:val="clear" w:color="auto" w:fill="FFFFFF"/>
              <w:rPr>
                <w:color w:val="000000"/>
                <w:sz w:val="22"/>
                <w:szCs w:val="22"/>
              </w:rPr>
            </w:pPr>
          </w:p>
        </w:tc>
        <w:tc>
          <w:tcPr>
            <w:tcW w:w="2928" w:type="dxa"/>
          </w:tcPr>
          <w:p w14:paraId="72506DAA">
            <w:pPr>
              <w:shd w:val="clear" w:color="auto" w:fill="FFFFFF"/>
              <w:rPr>
                <w:color w:val="000000"/>
                <w:sz w:val="22"/>
                <w:szCs w:val="22"/>
              </w:rPr>
            </w:pPr>
          </w:p>
        </w:tc>
        <w:tc>
          <w:tcPr>
            <w:tcW w:w="2928" w:type="dxa"/>
          </w:tcPr>
          <w:p w14:paraId="128C02A1">
            <w:pPr>
              <w:shd w:val="clear" w:color="auto" w:fill="FFFFFF"/>
              <w:rPr>
                <w:color w:val="000000"/>
                <w:sz w:val="22"/>
                <w:szCs w:val="22"/>
              </w:rPr>
            </w:pPr>
          </w:p>
        </w:tc>
      </w:tr>
      <w:tr w14:paraId="25716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B65C1BA">
            <w:pPr>
              <w:rPr>
                <w:rFonts w:eastAsia="Calibri"/>
                <w:sz w:val="22"/>
                <w:szCs w:val="22"/>
                <w:lang w:eastAsia="en-US"/>
              </w:rPr>
            </w:pPr>
          </w:p>
        </w:tc>
        <w:tc>
          <w:tcPr>
            <w:tcW w:w="2739" w:type="dxa"/>
          </w:tcPr>
          <w:p w14:paraId="69C5E817">
            <w:pPr>
              <w:shd w:val="clear" w:color="auto" w:fill="FFFFFF"/>
              <w:rPr>
                <w:color w:val="000000"/>
                <w:sz w:val="22"/>
                <w:szCs w:val="22"/>
              </w:rPr>
            </w:pPr>
          </w:p>
        </w:tc>
        <w:tc>
          <w:tcPr>
            <w:tcW w:w="2928" w:type="dxa"/>
          </w:tcPr>
          <w:p w14:paraId="6865AD4B">
            <w:pPr>
              <w:shd w:val="clear" w:color="auto" w:fill="FFFFFF"/>
              <w:rPr>
                <w:color w:val="000000"/>
                <w:sz w:val="22"/>
                <w:szCs w:val="22"/>
              </w:rPr>
            </w:pPr>
          </w:p>
        </w:tc>
        <w:tc>
          <w:tcPr>
            <w:tcW w:w="2928" w:type="dxa"/>
          </w:tcPr>
          <w:p w14:paraId="1FB60884">
            <w:pPr>
              <w:shd w:val="clear" w:color="auto" w:fill="FFFFFF"/>
              <w:rPr>
                <w:color w:val="000000"/>
                <w:sz w:val="22"/>
                <w:szCs w:val="22"/>
              </w:rPr>
            </w:pPr>
          </w:p>
        </w:tc>
      </w:tr>
      <w:tr w14:paraId="17840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0A032482">
            <w:pPr>
              <w:rPr>
                <w:rFonts w:eastAsia="Calibri"/>
                <w:sz w:val="22"/>
                <w:szCs w:val="22"/>
                <w:lang w:eastAsia="en-US"/>
              </w:rPr>
            </w:pPr>
          </w:p>
        </w:tc>
        <w:tc>
          <w:tcPr>
            <w:tcW w:w="2739" w:type="dxa"/>
          </w:tcPr>
          <w:p w14:paraId="359C3E22">
            <w:pPr>
              <w:shd w:val="clear" w:color="auto" w:fill="FFFFFF"/>
              <w:rPr>
                <w:color w:val="000000"/>
                <w:sz w:val="22"/>
                <w:szCs w:val="22"/>
              </w:rPr>
            </w:pPr>
          </w:p>
        </w:tc>
        <w:tc>
          <w:tcPr>
            <w:tcW w:w="2928" w:type="dxa"/>
          </w:tcPr>
          <w:p w14:paraId="46086CF4">
            <w:pPr>
              <w:shd w:val="clear" w:color="auto" w:fill="FFFFFF"/>
              <w:rPr>
                <w:color w:val="000000"/>
                <w:sz w:val="22"/>
                <w:szCs w:val="22"/>
              </w:rPr>
            </w:pPr>
          </w:p>
        </w:tc>
        <w:tc>
          <w:tcPr>
            <w:tcW w:w="2928" w:type="dxa"/>
          </w:tcPr>
          <w:p w14:paraId="4C4894DF">
            <w:pPr>
              <w:shd w:val="clear" w:color="auto" w:fill="FFFFFF"/>
              <w:rPr>
                <w:color w:val="000000"/>
                <w:sz w:val="22"/>
                <w:szCs w:val="22"/>
              </w:rPr>
            </w:pPr>
          </w:p>
        </w:tc>
      </w:tr>
      <w:tr w14:paraId="2C09D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FE9DE24">
            <w:pPr>
              <w:rPr>
                <w:rFonts w:eastAsia="Calibri"/>
                <w:sz w:val="22"/>
                <w:szCs w:val="22"/>
                <w:lang w:eastAsia="en-US"/>
              </w:rPr>
            </w:pPr>
          </w:p>
        </w:tc>
        <w:tc>
          <w:tcPr>
            <w:tcW w:w="2739" w:type="dxa"/>
          </w:tcPr>
          <w:p w14:paraId="09FBF45B">
            <w:pPr>
              <w:shd w:val="clear" w:color="auto" w:fill="FFFFFF"/>
              <w:rPr>
                <w:color w:val="000000"/>
                <w:sz w:val="22"/>
                <w:szCs w:val="22"/>
              </w:rPr>
            </w:pPr>
          </w:p>
        </w:tc>
        <w:tc>
          <w:tcPr>
            <w:tcW w:w="2928" w:type="dxa"/>
          </w:tcPr>
          <w:p w14:paraId="21DA0267">
            <w:pPr>
              <w:shd w:val="clear" w:color="auto" w:fill="FFFFFF"/>
              <w:rPr>
                <w:color w:val="000000"/>
                <w:sz w:val="22"/>
                <w:szCs w:val="22"/>
              </w:rPr>
            </w:pPr>
          </w:p>
        </w:tc>
        <w:tc>
          <w:tcPr>
            <w:tcW w:w="2928" w:type="dxa"/>
          </w:tcPr>
          <w:p w14:paraId="439AFDDD">
            <w:pPr>
              <w:shd w:val="clear" w:color="auto" w:fill="FFFFFF"/>
              <w:rPr>
                <w:color w:val="000000"/>
                <w:sz w:val="22"/>
                <w:szCs w:val="22"/>
              </w:rPr>
            </w:pPr>
          </w:p>
        </w:tc>
      </w:tr>
      <w:tr w14:paraId="640FE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10620D92">
            <w:pPr>
              <w:rPr>
                <w:rFonts w:eastAsia="Calibri"/>
                <w:sz w:val="22"/>
                <w:szCs w:val="22"/>
                <w:lang w:eastAsia="en-US"/>
              </w:rPr>
            </w:pPr>
          </w:p>
        </w:tc>
        <w:tc>
          <w:tcPr>
            <w:tcW w:w="2739" w:type="dxa"/>
          </w:tcPr>
          <w:p w14:paraId="1CAF4D4B">
            <w:pPr>
              <w:shd w:val="clear" w:color="auto" w:fill="FFFFFF"/>
              <w:rPr>
                <w:color w:val="000000"/>
                <w:sz w:val="22"/>
                <w:szCs w:val="22"/>
              </w:rPr>
            </w:pPr>
          </w:p>
        </w:tc>
        <w:tc>
          <w:tcPr>
            <w:tcW w:w="2928" w:type="dxa"/>
          </w:tcPr>
          <w:p w14:paraId="0C34F304">
            <w:pPr>
              <w:shd w:val="clear" w:color="auto" w:fill="FFFFFF"/>
              <w:rPr>
                <w:color w:val="000000"/>
                <w:sz w:val="22"/>
                <w:szCs w:val="22"/>
              </w:rPr>
            </w:pPr>
          </w:p>
        </w:tc>
        <w:tc>
          <w:tcPr>
            <w:tcW w:w="2928" w:type="dxa"/>
          </w:tcPr>
          <w:p w14:paraId="665B9FD7">
            <w:pPr>
              <w:shd w:val="clear" w:color="auto" w:fill="FFFFFF"/>
              <w:rPr>
                <w:color w:val="000000"/>
                <w:sz w:val="22"/>
                <w:szCs w:val="22"/>
              </w:rPr>
            </w:pPr>
          </w:p>
        </w:tc>
      </w:tr>
      <w:tr w14:paraId="077F4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52402D5B">
            <w:pPr>
              <w:rPr>
                <w:rFonts w:eastAsia="Calibri"/>
                <w:sz w:val="22"/>
                <w:szCs w:val="22"/>
                <w:lang w:eastAsia="en-US"/>
              </w:rPr>
            </w:pPr>
          </w:p>
        </w:tc>
        <w:tc>
          <w:tcPr>
            <w:tcW w:w="2739" w:type="dxa"/>
          </w:tcPr>
          <w:p w14:paraId="0318DF7E">
            <w:pPr>
              <w:shd w:val="clear" w:color="auto" w:fill="FFFFFF"/>
              <w:rPr>
                <w:color w:val="000000"/>
                <w:sz w:val="22"/>
                <w:szCs w:val="22"/>
              </w:rPr>
            </w:pPr>
          </w:p>
        </w:tc>
        <w:tc>
          <w:tcPr>
            <w:tcW w:w="2928" w:type="dxa"/>
          </w:tcPr>
          <w:p w14:paraId="6C4299AC">
            <w:pPr>
              <w:shd w:val="clear" w:color="auto" w:fill="FFFFFF"/>
              <w:rPr>
                <w:color w:val="000000"/>
                <w:sz w:val="22"/>
                <w:szCs w:val="22"/>
              </w:rPr>
            </w:pPr>
          </w:p>
        </w:tc>
        <w:tc>
          <w:tcPr>
            <w:tcW w:w="2928" w:type="dxa"/>
          </w:tcPr>
          <w:p w14:paraId="520E3E77">
            <w:pPr>
              <w:shd w:val="clear" w:color="auto" w:fill="FFFFFF"/>
              <w:rPr>
                <w:color w:val="000000"/>
                <w:sz w:val="22"/>
                <w:szCs w:val="22"/>
              </w:rPr>
            </w:pPr>
          </w:p>
        </w:tc>
      </w:tr>
      <w:tr w14:paraId="0D2E7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948A100">
            <w:pPr>
              <w:rPr>
                <w:rFonts w:eastAsia="Calibri"/>
                <w:sz w:val="22"/>
                <w:szCs w:val="22"/>
                <w:lang w:eastAsia="en-US"/>
              </w:rPr>
            </w:pPr>
          </w:p>
        </w:tc>
        <w:tc>
          <w:tcPr>
            <w:tcW w:w="2739" w:type="dxa"/>
          </w:tcPr>
          <w:p w14:paraId="32555365">
            <w:pPr>
              <w:shd w:val="clear" w:color="auto" w:fill="FFFFFF"/>
              <w:rPr>
                <w:color w:val="000000"/>
                <w:sz w:val="22"/>
                <w:szCs w:val="22"/>
              </w:rPr>
            </w:pPr>
          </w:p>
        </w:tc>
        <w:tc>
          <w:tcPr>
            <w:tcW w:w="2928" w:type="dxa"/>
          </w:tcPr>
          <w:p w14:paraId="0E6D0DBB">
            <w:pPr>
              <w:shd w:val="clear" w:color="auto" w:fill="FFFFFF"/>
              <w:rPr>
                <w:color w:val="000000"/>
                <w:sz w:val="22"/>
                <w:szCs w:val="22"/>
              </w:rPr>
            </w:pPr>
          </w:p>
        </w:tc>
        <w:tc>
          <w:tcPr>
            <w:tcW w:w="2928" w:type="dxa"/>
          </w:tcPr>
          <w:p w14:paraId="08B46FB7">
            <w:pPr>
              <w:shd w:val="clear" w:color="auto" w:fill="FFFFFF"/>
              <w:rPr>
                <w:color w:val="000000"/>
                <w:sz w:val="22"/>
                <w:szCs w:val="22"/>
              </w:rPr>
            </w:pPr>
          </w:p>
        </w:tc>
      </w:tr>
      <w:tr w14:paraId="70097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4B6A0240">
            <w:pPr>
              <w:rPr>
                <w:rFonts w:eastAsia="Calibri"/>
                <w:sz w:val="22"/>
                <w:szCs w:val="22"/>
                <w:lang w:eastAsia="en-US"/>
              </w:rPr>
            </w:pPr>
          </w:p>
        </w:tc>
        <w:tc>
          <w:tcPr>
            <w:tcW w:w="2739" w:type="dxa"/>
          </w:tcPr>
          <w:p w14:paraId="3CE5385A">
            <w:pPr>
              <w:shd w:val="clear" w:color="auto" w:fill="FFFFFF"/>
              <w:rPr>
                <w:color w:val="000000"/>
                <w:sz w:val="22"/>
                <w:szCs w:val="22"/>
              </w:rPr>
            </w:pPr>
          </w:p>
        </w:tc>
        <w:tc>
          <w:tcPr>
            <w:tcW w:w="2928" w:type="dxa"/>
          </w:tcPr>
          <w:p w14:paraId="40AFAC23">
            <w:pPr>
              <w:shd w:val="clear" w:color="auto" w:fill="FFFFFF"/>
              <w:rPr>
                <w:color w:val="000000"/>
                <w:sz w:val="22"/>
                <w:szCs w:val="22"/>
              </w:rPr>
            </w:pPr>
          </w:p>
        </w:tc>
        <w:tc>
          <w:tcPr>
            <w:tcW w:w="2928" w:type="dxa"/>
          </w:tcPr>
          <w:p w14:paraId="2E6B9395">
            <w:pPr>
              <w:shd w:val="clear" w:color="auto" w:fill="FFFFFF"/>
              <w:rPr>
                <w:color w:val="000000"/>
                <w:sz w:val="22"/>
                <w:szCs w:val="22"/>
              </w:rPr>
            </w:pPr>
          </w:p>
        </w:tc>
      </w:tr>
      <w:tr w14:paraId="32C02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3757A5CA">
            <w:pPr>
              <w:rPr>
                <w:rFonts w:eastAsia="Calibri"/>
                <w:sz w:val="22"/>
                <w:szCs w:val="22"/>
                <w:lang w:eastAsia="en-US"/>
              </w:rPr>
            </w:pPr>
          </w:p>
        </w:tc>
        <w:tc>
          <w:tcPr>
            <w:tcW w:w="2739" w:type="dxa"/>
          </w:tcPr>
          <w:p w14:paraId="387FFFBD">
            <w:pPr>
              <w:shd w:val="clear" w:color="auto" w:fill="FFFFFF"/>
              <w:rPr>
                <w:color w:val="000000"/>
                <w:sz w:val="22"/>
                <w:szCs w:val="22"/>
              </w:rPr>
            </w:pPr>
          </w:p>
        </w:tc>
        <w:tc>
          <w:tcPr>
            <w:tcW w:w="2928" w:type="dxa"/>
          </w:tcPr>
          <w:p w14:paraId="2182C8D5">
            <w:pPr>
              <w:shd w:val="clear" w:color="auto" w:fill="FFFFFF"/>
              <w:rPr>
                <w:color w:val="000000"/>
                <w:sz w:val="22"/>
                <w:szCs w:val="22"/>
              </w:rPr>
            </w:pPr>
          </w:p>
        </w:tc>
        <w:tc>
          <w:tcPr>
            <w:tcW w:w="2928" w:type="dxa"/>
          </w:tcPr>
          <w:p w14:paraId="315F5EAF">
            <w:pPr>
              <w:shd w:val="clear" w:color="auto" w:fill="FFFFFF"/>
              <w:rPr>
                <w:color w:val="000000"/>
                <w:sz w:val="22"/>
                <w:szCs w:val="22"/>
              </w:rPr>
            </w:pPr>
          </w:p>
        </w:tc>
      </w:tr>
      <w:tr w14:paraId="1F437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10CF670F">
            <w:pPr>
              <w:rPr>
                <w:rFonts w:eastAsia="Calibri"/>
                <w:sz w:val="22"/>
                <w:szCs w:val="22"/>
                <w:lang w:eastAsia="en-US"/>
              </w:rPr>
            </w:pPr>
          </w:p>
        </w:tc>
        <w:tc>
          <w:tcPr>
            <w:tcW w:w="2739" w:type="dxa"/>
          </w:tcPr>
          <w:p w14:paraId="7FB1565B">
            <w:pPr>
              <w:shd w:val="clear" w:color="auto" w:fill="FFFFFF"/>
              <w:rPr>
                <w:color w:val="000000"/>
                <w:sz w:val="22"/>
                <w:szCs w:val="22"/>
              </w:rPr>
            </w:pPr>
          </w:p>
        </w:tc>
        <w:tc>
          <w:tcPr>
            <w:tcW w:w="2928" w:type="dxa"/>
          </w:tcPr>
          <w:p w14:paraId="514ACBD5">
            <w:pPr>
              <w:shd w:val="clear" w:color="auto" w:fill="FFFFFF"/>
              <w:rPr>
                <w:color w:val="000000"/>
                <w:sz w:val="22"/>
                <w:szCs w:val="22"/>
              </w:rPr>
            </w:pPr>
          </w:p>
        </w:tc>
        <w:tc>
          <w:tcPr>
            <w:tcW w:w="2928" w:type="dxa"/>
          </w:tcPr>
          <w:p w14:paraId="3D7A7E13">
            <w:pPr>
              <w:shd w:val="clear" w:color="auto" w:fill="FFFFFF"/>
              <w:rPr>
                <w:color w:val="000000"/>
                <w:sz w:val="22"/>
                <w:szCs w:val="22"/>
              </w:rPr>
            </w:pPr>
          </w:p>
        </w:tc>
      </w:tr>
      <w:tr w14:paraId="7936B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9DDC9CE">
            <w:pPr>
              <w:rPr>
                <w:rFonts w:eastAsia="Calibri"/>
                <w:sz w:val="22"/>
                <w:szCs w:val="22"/>
                <w:lang w:eastAsia="en-US"/>
              </w:rPr>
            </w:pPr>
          </w:p>
        </w:tc>
        <w:tc>
          <w:tcPr>
            <w:tcW w:w="2739" w:type="dxa"/>
          </w:tcPr>
          <w:p w14:paraId="4C93E011">
            <w:pPr>
              <w:shd w:val="clear" w:color="auto" w:fill="FFFFFF"/>
              <w:rPr>
                <w:color w:val="000000"/>
                <w:sz w:val="22"/>
                <w:szCs w:val="22"/>
              </w:rPr>
            </w:pPr>
          </w:p>
        </w:tc>
        <w:tc>
          <w:tcPr>
            <w:tcW w:w="2928" w:type="dxa"/>
          </w:tcPr>
          <w:p w14:paraId="6007CC4F">
            <w:pPr>
              <w:shd w:val="clear" w:color="auto" w:fill="FFFFFF"/>
              <w:rPr>
                <w:color w:val="000000"/>
                <w:sz w:val="22"/>
                <w:szCs w:val="22"/>
              </w:rPr>
            </w:pPr>
          </w:p>
        </w:tc>
        <w:tc>
          <w:tcPr>
            <w:tcW w:w="2928" w:type="dxa"/>
          </w:tcPr>
          <w:p w14:paraId="2635CE43">
            <w:pPr>
              <w:shd w:val="clear" w:color="auto" w:fill="FFFFFF"/>
              <w:rPr>
                <w:color w:val="000000"/>
                <w:sz w:val="22"/>
                <w:szCs w:val="22"/>
              </w:rPr>
            </w:pPr>
          </w:p>
        </w:tc>
      </w:tr>
      <w:tr w14:paraId="67D92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435D8AB6">
            <w:pPr>
              <w:rPr>
                <w:rFonts w:eastAsia="Calibri"/>
                <w:sz w:val="22"/>
                <w:szCs w:val="22"/>
                <w:lang w:eastAsia="en-US"/>
              </w:rPr>
            </w:pPr>
          </w:p>
        </w:tc>
        <w:tc>
          <w:tcPr>
            <w:tcW w:w="2739" w:type="dxa"/>
          </w:tcPr>
          <w:p w14:paraId="769F3EF5">
            <w:pPr>
              <w:shd w:val="clear" w:color="auto" w:fill="FFFFFF"/>
              <w:rPr>
                <w:color w:val="000000"/>
                <w:sz w:val="22"/>
                <w:szCs w:val="22"/>
              </w:rPr>
            </w:pPr>
          </w:p>
        </w:tc>
        <w:tc>
          <w:tcPr>
            <w:tcW w:w="2928" w:type="dxa"/>
          </w:tcPr>
          <w:p w14:paraId="563F2AD9">
            <w:pPr>
              <w:shd w:val="clear" w:color="auto" w:fill="FFFFFF"/>
              <w:rPr>
                <w:color w:val="000000"/>
                <w:sz w:val="22"/>
                <w:szCs w:val="22"/>
              </w:rPr>
            </w:pPr>
          </w:p>
        </w:tc>
        <w:tc>
          <w:tcPr>
            <w:tcW w:w="2928" w:type="dxa"/>
          </w:tcPr>
          <w:p w14:paraId="505BABC3">
            <w:pPr>
              <w:shd w:val="clear" w:color="auto" w:fill="FFFFFF"/>
              <w:rPr>
                <w:color w:val="000000"/>
                <w:sz w:val="22"/>
                <w:szCs w:val="22"/>
              </w:rPr>
            </w:pPr>
          </w:p>
        </w:tc>
      </w:tr>
      <w:tr w14:paraId="28AC9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106DE7BE">
            <w:pPr>
              <w:rPr>
                <w:rFonts w:eastAsia="Calibri"/>
                <w:sz w:val="22"/>
                <w:szCs w:val="22"/>
                <w:lang w:eastAsia="en-US"/>
              </w:rPr>
            </w:pPr>
          </w:p>
        </w:tc>
        <w:tc>
          <w:tcPr>
            <w:tcW w:w="2739" w:type="dxa"/>
          </w:tcPr>
          <w:p w14:paraId="63601CF8">
            <w:pPr>
              <w:shd w:val="clear" w:color="auto" w:fill="FFFFFF"/>
              <w:rPr>
                <w:color w:val="000000"/>
                <w:sz w:val="22"/>
                <w:szCs w:val="22"/>
              </w:rPr>
            </w:pPr>
          </w:p>
        </w:tc>
        <w:tc>
          <w:tcPr>
            <w:tcW w:w="2928" w:type="dxa"/>
          </w:tcPr>
          <w:p w14:paraId="794431BA">
            <w:pPr>
              <w:shd w:val="clear" w:color="auto" w:fill="FFFFFF"/>
              <w:rPr>
                <w:color w:val="000000"/>
                <w:sz w:val="22"/>
                <w:szCs w:val="22"/>
              </w:rPr>
            </w:pPr>
          </w:p>
        </w:tc>
        <w:tc>
          <w:tcPr>
            <w:tcW w:w="2928" w:type="dxa"/>
          </w:tcPr>
          <w:p w14:paraId="4834B264">
            <w:pPr>
              <w:shd w:val="clear" w:color="auto" w:fill="FFFFFF"/>
              <w:rPr>
                <w:color w:val="000000"/>
                <w:sz w:val="22"/>
                <w:szCs w:val="22"/>
              </w:rPr>
            </w:pPr>
          </w:p>
        </w:tc>
      </w:tr>
      <w:tr w14:paraId="1E5E0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7F1F27DF">
            <w:pPr>
              <w:rPr>
                <w:rFonts w:eastAsia="Calibri"/>
                <w:sz w:val="22"/>
                <w:szCs w:val="22"/>
                <w:lang w:eastAsia="en-US"/>
              </w:rPr>
            </w:pPr>
          </w:p>
        </w:tc>
        <w:tc>
          <w:tcPr>
            <w:tcW w:w="2739" w:type="dxa"/>
          </w:tcPr>
          <w:p w14:paraId="69499E74">
            <w:pPr>
              <w:shd w:val="clear" w:color="auto" w:fill="FFFFFF"/>
              <w:rPr>
                <w:color w:val="000000"/>
                <w:sz w:val="22"/>
                <w:szCs w:val="22"/>
              </w:rPr>
            </w:pPr>
          </w:p>
        </w:tc>
        <w:tc>
          <w:tcPr>
            <w:tcW w:w="2928" w:type="dxa"/>
          </w:tcPr>
          <w:p w14:paraId="4850BF80">
            <w:pPr>
              <w:shd w:val="clear" w:color="auto" w:fill="FFFFFF"/>
              <w:rPr>
                <w:color w:val="000000"/>
                <w:sz w:val="22"/>
                <w:szCs w:val="22"/>
              </w:rPr>
            </w:pPr>
          </w:p>
        </w:tc>
        <w:tc>
          <w:tcPr>
            <w:tcW w:w="2928" w:type="dxa"/>
          </w:tcPr>
          <w:p w14:paraId="5CCF78E6">
            <w:pPr>
              <w:shd w:val="clear" w:color="auto" w:fill="FFFFFF"/>
              <w:rPr>
                <w:color w:val="000000"/>
                <w:sz w:val="22"/>
                <w:szCs w:val="22"/>
              </w:rPr>
            </w:pPr>
          </w:p>
        </w:tc>
      </w:tr>
      <w:tr w14:paraId="612A0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17A0ED65">
            <w:pPr>
              <w:rPr>
                <w:rFonts w:eastAsia="Calibri"/>
                <w:sz w:val="22"/>
                <w:szCs w:val="22"/>
                <w:lang w:eastAsia="en-US"/>
              </w:rPr>
            </w:pPr>
          </w:p>
        </w:tc>
        <w:tc>
          <w:tcPr>
            <w:tcW w:w="2739" w:type="dxa"/>
          </w:tcPr>
          <w:p w14:paraId="13C00101">
            <w:pPr>
              <w:shd w:val="clear" w:color="auto" w:fill="FFFFFF"/>
              <w:rPr>
                <w:color w:val="000000"/>
                <w:sz w:val="22"/>
                <w:szCs w:val="22"/>
              </w:rPr>
            </w:pPr>
          </w:p>
        </w:tc>
        <w:tc>
          <w:tcPr>
            <w:tcW w:w="2928" w:type="dxa"/>
          </w:tcPr>
          <w:p w14:paraId="47F33783">
            <w:pPr>
              <w:shd w:val="clear" w:color="auto" w:fill="FFFFFF"/>
              <w:rPr>
                <w:color w:val="000000"/>
                <w:sz w:val="22"/>
                <w:szCs w:val="22"/>
              </w:rPr>
            </w:pPr>
          </w:p>
        </w:tc>
        <w:tc>
          <w:tcPr>
            <w:tcW w:w="2928" w:type="dxa"/>
          </w:tcPr>
          <w:p w14:paraId="58A5869D">
            <w:pPr>
              <w:shd w:val="clear" w:color="auto" w:fill="FFFFFF"/>
              <w:rPr>
                <w:color w:val="000000"/>
                <w:sz w:val="22"/>
                <w:szCs w:val="22"/>
              </w:rPr>
            </w:pPr>
          </w:p>
        </w:tc>
      </w:tr>
      <w:tr w14:paraId="4CDD1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14:paraId="25A917A0">
            <w:pPr>
              <w:rPr>
                <w:rFonts w:eastAsia="Calibri"/>
                <w:sz w:val="22"/>
                <w:szCs w:val="22"/>
                <w:lang w:eastAsia="en-US"/>
              </w:rPr>
            </w:pPr>
          </w:p>
        </w:tc>
        <w:tc>
          <w:tcPr>
            <w:tcW w:w="2739" w:type="dxa"/>
          </w:tcPr>
          <w:p w14:paraId="62FC278B">
            <w:pPr>
              <w:shd w:val="clear" w:color="auto" w:fill="FFFFFF"/>
              <w:rPr>
                <w:color w:val="000000"/>
                <w:sz w:val="22"/>
                <w:szCs w:val="22"/>
              </w:rPr>
            </w:pPr>
          </w:p>
        </w:tc>
        <w:tc>
          <w:tcPr>
            <w:tcW w:w="2928" w:type="dxa"/>
          </w:tcPr>
          <w:p w14:paraId="7E85F834">
            <w:pPr>
              <w:shd w:val="clear" w:color="auto" w:fill="FFFFFF"/>
              <w:rPr>
                <w:color w:val="000000"/>
                <w:sz w:val="22"/>
                <w:szCs w:val="22"/>
              </w:rPr>
            </w:pPr>
          </w:p>
        </w:tc>
        <w:tc>
          <w:tcPr>
            <w:tcW w:w="2928" w:type="dxa"/>
          </w:tcPr>
          <w:p w14:paraId="748FD4A1">
            <w:pPr>
              <w:shd w:val="clear" w:color="auto" w:fill="FFFFFF"/>
              <w:rPr>
                <w:color w:val="000000"/>
                <w:sz w:val="22"/>
                <w:szCs w:val="22"/>
              </w:rPr>
            </w:pPr>
          </w:p>
        </w:tc>
      </w:tr>
    </w:tbl>
    <w:p w14:paraId="691C0926">
      <w:pPr>
        <w:widowControl w:val="0"/>
        <w:spacing w:line="360" w:lineRule="auto"/>
        <w:jc w:val="center"/>
        <w:rPr>
          <w:b/>
          <w:color w:val="000000"/>
          <w:sz w:val="28"/>
          <w:szCs w:val="28"/>
          <w:lang w:bidi="ru-RU"/>
        </w:rPr>
      </w:pPr>
    </w:p>
    <w:p w14:paraId="52C8095F">
      <w:pPr>
        <w:widowControl w:val="0"/>
        <w:spacing w:line="360" w:lineRule="auto"/>
        <w:jc w:val="center"/>
        <w:rPr>
          <w:b/>
          <w:color w:val="000000"/>
          <w:sz w:val="28"/>
          <w:szCs w:val="28"/>
          <w:lang w:bidi="ru-RU"/>
        </w:rPr>
      </w:pPr>
      <w:r>
        <w:rPr>
          <w:b/>
          <w:color w:val="000000"/>
          <w:sz w:val="28"/>
          <w:szCs w:val="28"/>
          <w:lang w:bidi="ru-RU"/>
        </w:rPr>
        <w:t>Ответить на контрольные вопросы: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EA43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5F1C6038">
            <w:pPr>
              <w:widowControl w:val="0"/>
              <w:spacing w:line="360" w:lineRule="auto"/>
              <w:jc w:val="both"/>
              <w:rPr>
                <w:color w:val="000000"/>
                <w:sz w:val="28"/>
                <w:szCs w:val="28"/>
                <w:lang w:bidi="ru-RU"/>
              </w:rPr>
            </w:pPr>
            <w:r>
              <w:rPr>
                <w:color w:val="000000"/>
                <w:sz w:val="28"/>
                <w:szCs w:val="28"/>
                <w:lang w:bidi="ru-RU"/>
              </w:rPr>
              <w:t>1. Достоинства радиальных схем:</w:t>
            </w:r>
          </w:p>
        </w:tc>
      </w:tr>
      <w:tr w14:paraId="32A7B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5C909B6E">
            <w:pPr>
              <w:widowControl w:val="0"/>
              <w:spacing w:line="360" w:lineRule="auto"/>
              <w:jc w:val="both"/>
              <w:rPr>
                <w:rFonts w:hint="default"/>
                <w:color w:val="000000"/>
                <w:sz w:val="28"/>
                <w:szCs w:val="28"/>
                <w:lang w:val="en-US" w:bidi="ru-RU"/>
              </w:rPr>
            </w:pPr>
          </w:p>
        </w:tc>
      </w:tr>
      <w:tr w14:paraId="10D59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6652C828">
            <w:pPr>
              <w:widowControl w:val="0"/>
              <w:spacing w:line="360" w:lineRule="auto"/>
              <w:jc w:val="both"/>
              <w:rPr>
                <w:color w:val="000000"/>
                <w:sz w:val="28"/>
                <w:szCs w:val="28"/>
                <w:lang w:bidi="ru-RU"/>
              </w:rPr>
            </w:pPr>
          </w:p>
        </w:tc>
      </w:tr>
      <w:tr w14:paraId="0D6F59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6DD7DE12">
            <w:pPr>
              <w:widowControl w:val="0"/>
              <w:spacing w:line="360" w:lineRule="auto"/>
              <w:jc w:val="both"/>
              <w:rPr>
                <w:color w:val="000000"/>
                <w:sz w:val="28"/>
                <w:szCs w:val="28"/>
                <w:lang w:bidi="ru-RU"/>
              </w:rPr>
            </w:pPr>
          </w:p>
        </w:tc>
      </w:tr>
      <w:tr w14:paraId="0A642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03D480F7">
            <w:pPr>
              <w:widowControl w:val="0"/>
              <w:spacing w:line="360" w:lineRule="auto"/>
              <w:jc w:val="both"/>
              <w:rPr>
                <w:color w:val="000000"/>
                <w:sz w:val="28"/>
                <w:szCs w:val="28"/>
                <w:lang w:bidi="ru-RU"/>
              </w:rPr>
            </w:pPr>
          </w:p>
        </w:tc>
      </w:tr>
      <w:tr w14:paraId="0BC84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3FBB340A">
            <w:pPr>
              <w:widowControl w:val="0"/>
              <w:spacing w:line="360" w:lineRule="auto"/>
              <w:jc w:val="both"/>
              <w:rPr>
                <w:color w:val="000000"/>
                <w:sz w:val="28"/>
                <w:szCs w:val="28"/>
                <w:lang w:bidi="ru-RU"/>
              </w:rPr>
            </w:pPr>
          </w:p>
        </w:tc>
      </w:tr>
    </w:tbl>
    <w:p w14:paraId="1DF924F7">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3654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7A0BD7DE">
            <w:pPr>
              <w:widowControl w:val="0"/>
              <w:spacing w:line="360" w:lineRule="auto"/>
              <w:jc w:val="both"/>
              <w:rPr>
                <w:color w:val="000000"/>
                <w:sz w:val="28"/>
                <w:szCs w:val="28"/>
                <w:lang w:bidi="ru-RU"/>
              </w:rPr>
            </w:pPr>
            <w:r>
              <w:rPr>
                <w:color w:val="000000"/>
                <w:sz w:val="28"/>
                <w:szCs w:val="28"/>
                <w:lang w:bidi="ru-RU"/>
              </w:rPr>
              <w:t>2. Недостатки радиальных схем:</w:t>
            </w:r>
          </w:p>
        </w:tc>
      </w:tr>
      <w:tr w14:paraId="153C6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50242215">
            <w:pPr>
              <w:widowControl w:val="0"/>
              <w:spacing w:line="360" w:lineRule="auto"/>
              <w:jc w:val="both"/>
              <w:rPr>
                <w:color w:val="000000"/>
                <w:sz w:val="28"/>
                <w:szCs w:val="28"/>
                <w:lang w:bidi="ru-RU"/>
              </w:rPr>
            </w:pPr>
          </w:p>
        </w:tc>
      </w:tr>
      <w:tr w14:paraId="65567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A4C1F38">
            <w:pPr>
              <w:widowControl w:val="0"/>
              <w:spacing w:line="360" w:lineRule="auto"/>
              <w:jc w:val="both"/>
              <w:rPr>
                <w:color w:val="000000"/>
                <w:sz w:val="28"/>
                <w:szCs w:val="28"/>
                <w:lang w:bidi="ru-RU"/>
              </w:rPr>
            </w:pPr>
          </w:p>
        </w:tc>
      </w:tr>
      <w:tr w14:paraId="6DDC9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1F1A1E5">
            <w:pPr>
              <w:widowControl w:val="0"/>
              <w:spacing w:line="360" w:lineRule="auto"/>
              <w:jc w:val="both"/>
              <w:rPr>
                <w:color w:val="000000"/>
                <w:sz w:val="28"/>
                <w:szCs w:val="28"/>
                <w:lang w:bidi="ru-RU"/>
              </w:rPr>
            </w:pPr>
          </w:p>
        </w:tc>
      </w:tr>
      <w:tr w14:paraId="2DB8A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3BFBCBE">
            <w:pPr>
              <w:widowControl w:val="0"/>
              <w:spacing w:line="360" w:lineRule="auto"/>
              <w:jc w:val="both"/>
              <w:rPr>
                <w:color w:val="000000"/>
                <w:sz w:val="28"/>
                <w:szCs w:val="28"/>
                <w:lang w:bidi="ru-RU"/>
              </w:rPr>
            </w:pPr>
          </w:p>
        </w:tc>
      </w:tr>
      <w:tr w14:paraId="0FD1F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211A7A49">
            <w:pPr>
              <w:widowControl w:val="0"/>
              <w:spacing w:line="360" w:lineRule="auto"/>
              <w:jc w:val="both"/>
              <w:rPr>
                <w:color w:val="000000"/>
                <w:sz w:val="28"/>
                <w:szCs w:val="28"/>
                <w:lang w:bidi="ru-RU"/>
              </w:rPr>
            </w:pPr>
          </w:p>
        </w:tc>
      </w:tr>
      <w:tr w14:paraId="488CF5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04D70950">
            <w:pPr>
              <w:widowControl w:val="0"/>
              <w:spacing w:line="360" w:lineRule="auto"/>
              <w:jc w:val="both"/>
              <w:rPr>
                <w:color w:val="000000"/>
                <w:sz w:val="28"/>
                <w:szCs w:val="28"/>
                <w:lang w:bidi="ru-RU"/>
              </w:rPr>
            </w:pPr>
            <w:r>
              <w:rPr>
                <w:color w:val="000000"/>
                <w:sz w:val="28"/>
                <w:szCs w:val="28"/>
                <w:lang w:bidi="ru-RU"/>
              </w:rPr>
              <w:t>3. Достоинства магистральных схем:</w:t>
            </w:r>
          </w:p>
        </w:tc>
      </w:tr>
      <w:tr w14:paraId="2C17B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62A34194">
            <w:pPr>
              <w:widowControl w:val="0"/>
              <w:spacing w:line="360" w:lineRule="auto"/>
              <w:jc w:val="both"/>
              <w:rPr>
                <w:color w:val="000000"/>
                <w:sz w:val="28"/>
                <w:szCs w:val="28"/>
                <w:lang w:bidi="ru-RU"/>
              </w:rPr>
            </w:pPr>
          </w:p>
        </w:tc>
      </w:tr>
      <w:tr w14:paraId="50AE3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25B5F615">
            <w:pPr>
              <w:widowControl w:val="0"/>
              <w:spacing w:line="360" w:lineRule="auto"/>
              <w:jc w:val="both"/>
              <w:rPr>
                <w:color w:val="000000"/>
                <w:sz w:val="28"/>
                <w:szCs w:val="28"/>
                <w:lang w:bidi="ru-RU"/>
              </w:rPr>
            </w:pPr>
          </w:p>
        </w:tc>
      </w:tr>
      <w:tr w14:paraId="6F4CA1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7930C53">
            <w:pPr>
              <w:widowControl w:val="0"/>
              <w:spacing w:line="360" w:lineRule="auto"/>
              <w:jc w:val="both"/>
              <w:rPr>
                <w:color w:val="000000"/>
                <w:sz w:val="28"/>
                <w:szCs w:val="28"/>
                <w:lang w:bidi="ru-RU"/>
              </w:rPr>
            </w:pPr>
          </w:p>
        </w:tc>
      </w:tr>
      <w:tr w14:paraId="7EAA3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69E7DA2F">
            <w:pPr>
              <w:widowControl w:val="0"/>
              <w:spacing w:line="360" w:lineRule="auto"/>
              <w:jc w:val="both"/>
              <w:rPr>
                <w:color w:val="000000"/>
                <w:sz w:val="28"/>
                <w:szCs w:val="28"/>
                <w:lang w:bidi="ru-RU"/>
              </w:rPr>
            </w:pPr>
          </w:p>
        </w:tc>
      </w:tr>
      <w:tr w14:paraId="4CCEBC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64091DF2">
            <w:pPr>
              <w:widowControl w:val="0"/>
              <w:spacing w:line="360" w:lineRule="auto"/>
              <w:jc w:val="both"/>
              <w:rPr>
                <w:color w:val="000000"/>
                <w:sz w:val="28"/>
                <w:szCs w:val="28"/>
                <w:lang w:bidi="ru-RU"/>
              </w:rPr>
            </w:pPr>
          </w:p>
        </w:tc>
      </w:tr>
    </w:tbl>
    <w:p w14:paraId="321BE68A">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89"/>
        <w:gridCol w:w="33"/>
      </w:tblGrid>
      <w:tr w14:paraId="7B6A7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736817EB">
            <w:pPr>
              <w:widowControl w:val="0"/>
              <w:spacing w:line="360" w:lineRule="auto"/>
              <w:jc w:val="both"/>
              <w:rPr>
                <w:color w:val="000000"/>
                <w:sz w:val="28"/>
                <w:szCs w:val="28"/>
                <w:lang w:bidi="ru-RU"/>
              </w:rPr>
            </w:pPr>
            <w:r>
              <w:rPr>
                <w:color w:val="000000"/>
                <w:sz w:val="28"/>
                <w:szCs w:val="28"/>
                <w:lang w:bidi="ru-RU"/>
              </w:rPr>
              <w:t>4. Недостатки магистральных схем:</w:t>
            </w:r>
          </w:p>
        </w:tc>
      </w:tr>
      <w:tr w14:paraId="065B5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3FB46389">
            <w:pPr>
              <w:widowControl w:val="0"/>
              <w:spacing w:line="360" w:lineRule="auto"/>
              <w:jc w:val="both"/>
              <w:rPr>
                <w:color w:val="000000"/>
                <w:sz w:val="28"/>
                <w:szCs w:val="28"/>
                <w:lang w:bidi="ru-RU"/>
              </w:rPr>
            </w:pPr>
          </w:p>
        </w:tc>
      </w:tr>
      <w:tr w14:paraId="15C25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791E2D72">
            <w:pPr>
              <w:widowControl w:val="0"/>
              <w:spacing w:line="360" w:lineRule="auto"/>
              <w:jc w:val="both"/>
              <w:rPr>
                <w:color w:val="000000"/>
                <w:sz w:val="28"/>
                <w:szCs w:val="28"/>
                <w:lang w:bidi="ru-RU"/>
              </w:rPr>
            </w:pPr>
          </w:p>
        </w:tc>
      </w:tr>
      <w:tr w14:paraId="73FD1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5C9C51DB">
            <w:pPr>
              <w:widowControl w:val="0"/>
              <w:spacing w:line="360" w:lineRule="auto"/>
              <w:jc w:val="both"/>
              <w:rPr>
                <w:color w:val="000000"/>
                <w:sz w:val="28"/>
                <w:szCs w:val="28"/>
                <w:lang w:bidi="ru-RU"/>
              </w:rPr>
            </w:pPr>
          </w:p>
        </w:tc>
      </w:tr>
      <w:tr w14:paraId="5523B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4FB7B190">
            <w:pPr>
              <w:widowControl w:val="0"/>
              <w:spacing w:line="360" w:lineRule="auto"/>
              <w:jc w:val="both"/>
              <w:rPr>
                <w:color w:val="000000"/>
                <w:sz w:val="28"/>
                <w:szCs w:val="28"/>
                <w:lang w:bidi="ru-RU"/>
              </w:rPr>
            </w:pPr>
          </w:p>
        </w:tc>
      </w:tr>
      <w:tr w14:paraId="20744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 w:type="dxa"/>
        </w:trPr>
        <w:tc>
          <w:tcPr>
            <w:tcW w:w="9308" w:type="dxa"/>
          </w:tcPr>
          <w:p w14:paraId="56F21749">
            <w:pPr>
              <w:widowControl w:val="0"/>
              <w:spacing w:line="360" w:lineRule="auto"/>
              <w:jc w:val="both"/>
              <w:rPr>
                <w:color w:val="000000"/>
                <w:sz w:val="28"/>
                <w:szCs w:val="28"/>
                <w:lang w:bidi="ru-RU"/>
              </w:rPr>
            </w:pPr>
          </w:p>
        </w:tc>
      </w:tr>
      <w:tr w14:paraId="189C01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6D2DFEFC">
            <w:pPr>
              <w:widowControl w:val="0"/>
              <w:spacing w:line="360" w:lineRule="auto"/>
              <w:jc w:val="both"/>
              <w:rPr>
                <w:color w:val="000000"/>
                <w:sz w:val="28"/>
                <w:szCs w:val="28"/>
                <w:lang w:bidi="ru-RU"/>
              </w:rPr>
            </w:pPr>
            <w:r>
              <w:rPr>
                <w:color w:val="000000"/>
                <w:sz w:val="28"/>
                <w:szCs w:val="28"/>
                <w:lang w:bidi="ru-RU"/>
              </w:rPr>
              <w:t>5. Какое влияние оказывает категория потребителя на выбор схемы электроснабжения?</w:t>
            </w:r>
          </w:p>
        </w:tc>
      </w:tr>
      <w:tr w14:paraId="69E5D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33E16B80">
            <w:pPr>
              <w:widowControl w:val="0"/>
              <w:spacing w:line="360" w:lineRule="auto"/>
              <w:jc w:val="both"/>
              <w:rPr>
                <w:color w:val="000000"/>
                <w:sz w:val="28"/>
                <w:szCs w:val="28"/>
                <w:lang w:bidi="ru-RU"/>
              </w:rPr>
            </w:pPr>
          </w:p>
        </w:tc>
      </w:tr>
      <w:tr w14:paraId="1A0F3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31C97EB9">
            <w:pPr>
              <w:widowControl w:val="0"/>
              <w:spacing w:line="360" w:lineRule="auto"/>
              <w:jc w:val="both"/>
              <w:rPr>
                <w:color w:val="000000"/>
                <w:sz w:val="28"/>
                <w:szCs w:val="28"/>
                <w:lang w:bidi="ru-RU"/>
              </w:rPr>
            </w:pPr>
          </w:p>
        </w:tc>
      </w:tr>
      <w:tr w14:paraId="6EBB2C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55C481FA">
            <w:pPr>
              <w:widowControl w:val="0"/>
              <w:spacing w:line="360" w:lineRule="auto"/>
              <w:jc w:val="both"/>
              <w:rPr>
                <w:color w:val="000000"/>
                <w:sz w:val="28"/>
                <w:szCs w:val="28"/>
                <w:lang w:bidi="ru-RU"/>
              </w:rPr>
            </w:pPr>
          </w:p>
        </w:tc>
      </w:tr>
      <w:tr w14:paraId="751E7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1DB99F3C">
            <w:pPr>
              <w:widowControl w:val="0"/>
              <w:spacing w:line="360" w:lineRule="auto"/>
              <w:jc w:val="both"/>
              <w:rPr>
                <w:color w:val="000000"/>
                <w:sz w:val="28"/>
                <w:szCs w:val="28"/>
                <w:lang w:bidi="ru-RU"/>
              </w:rPr>
            </w:pPr>
          </w:p>
        </w:tc>
      </w:tr>
      <w:tr w14:paraId="6AC26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gridSpan w:val="2"/>
          </w:tcPr>
          <w:p w14:paraId="2C2035F3">
            <w:pPr>
              <w:widowControl w:val="0"/>
              <w:spacing w:line="360" w:lineRule="auto"/>
              <w:jc w:val="both"/>
              <w:rPr>
                <w:color w:val="000000"/>
                <w:sz w:val="28"/>
                <w:szCs w:val="28"/>
                <w:lang w:bidi="ru-RU"/>
              </w:rPr>
            </w:pPr>
          </w:p>
        </w:tc>
      </w:tr>
    </w:tbl>
    <w:p w14:paraId="3FBF4C82">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CBB4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08" w:type="dxa"/>
          </w:tcPr>
          <w:p w14:paraId="28E6E3BB">
            <w:pPr>
              <w:widowControl w:val="0"/>
              <w:spacing w:line="360" w:lineRule="auto"/>
              <w:jc w:val="both"/>
              <w:rPr>
                <w:color w:val="000000"/>
                <w:sz w:val="28"/>
                <w:szCs w:val="28"/>
                <w:lang w:bidi="ru-RU"/>
              </w:rPr>
            </w:pPr>
            <w:r>
              <w:rPr>
                <w:color w:val="000000"/>
                <w:sz w:val="28"/>
                <w:szCs w:val="28"/>
                <w:lang w:bidi="ru-RU"/>
              </w:rPr>
              <w:t>6. Что такое приемник и потребитель электроэнергии?</w:t>
            </w:r>
          </w:p>
        </w:tc>
      </w:tr>
      <w:tr w14:paraId="40F87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76DABFAE">
            <w:pPr>
              <w:widowControl w:val="0"/>
              <w:spacing w:line="360" w:lineRule="auto"/>
              <w:jc w:val="both"/>
              <w:rPr>
                <w:color w:val="000000"/>
                <w:sz w:val="28"/>
                <w:szCs w:val="28"/>
                <w:lang w:bidi="ru-RU"/>
              </w:rPr>
            </w:pPr>
          </w:p>
        </w:tc>
      </w:tr>
      <w:tr w14:paraId="27AAD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16A7350C">
            <w:pPr>
              <w:widowControl w:val="0"/>
              <w:spacing w:line="360" w:lineRule="auto"/>
              <w:jc w:val="both"/>
              <w:rPr>
                <w:color w:val="000000"/>
                <w:sz w:val="28"/>
                <w:szCs w:val="28"/>
                <w:lang w:bidi="ru-RU"/>
              </w:rPr>
            </w:pPr>
          </w:p>
        </w:tc>
      </w:tr>
      <w:tr w14:paraId="10789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60329B31">
            <w:pPr>
              <w:widowControl w:val="0"/>
              <w:spacing w:line="360" w:lineRule="auto"/>
              <w:jc w:val="both"/>
              <w:rPr>
                <w:color w:val="000000"/>
                <w:sz w:val="28"/>
                <w:szCs w:val="28"/>
                <w:lang w:bidi="ru-RU"/>
              </w:rPr>
            </w:pPr>
          </w:p>
        </w:tc>
      </w:tr>
      <w:tr w14:paraId="59777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7D419ED6">
            <w:pPr>
              <w:widowControl w:val="0"/>
              <w:spacing w:line="360" w:lineRule="auto"/>
              <w:jc w:val="both"/>
              <w:rPr>
                <w:color w:val="000000"/>
                <w:sz w:val="28"/>
                <w:szCs w:val="28"/>
                <w:lang w:bidi="ru-RU"/>
              </w:rPr>
            </w:pPr>
          </w:p>
        </w:tc>
      </w:tr>
      <w:tr w14:paraId="0596E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57BCEB2C">
            <w:pPr>
              <w:widowControl w:val="0"/>
              <w:spacing w:line="360" w:lineRule="auto"/>
              <w:jc w:val="both"/>
              <w:rPr>
                <w:color w:val="000000"/>
                <w:sz w:val="28"/>
                <w:szCs w:val="28"/>
                <w:lang w:bidi="ru-RU"/>
              </w:rPr>
            </w:pPr>
          </w:p>
        </w:tc>
      </w:tr>
      <w:tr w14:paraId="06FC66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0A0BEFD5">
            <w:pPr>
              <w:widowControl w:val="0"/>
              <w:spacing w:line="360" w:lineRule="auto"/>
              <w:jc w:val="both"/>
              <w:rPr>
                <w:color w:val="000000"/>
                <w:sz w:val="28"/>
                <w:szCs w:val="28"/>
                <w:lang w:bidi="ru-RU"/>
              </w:rPr>
            </w:pPr>
            <w:r>
              <w:rPr>
                <w:color w:val="000000"/>
                <w:sz w:val="28"/>
                <w:szCs w:val="28"/>
                <w:lang w:bidi="ru-RU"/>
              </w:rPr>
              <w:t>7. Как электроприемники классифицируются по надежности электроснабжения?</w:t>
            </w:r>
          </w:p>
        </w:tc>
      </w:tr>
      <w:tr w14:paraId="5FF52B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1BF6A3C3">
            <w:pPr>
              <w:widowControl w:val="0"/>
              <w:spacing w:line="360" w:lineRule="auto"/>
              <w:jc w:val="both"/>
              <w:rPr>
                <w:color w:val="000000"/>
                <w:sz w:val="28"/>
                <w:szCs w:val="28"/>
                <w:lang w:bidi="ru-RU"/>
              </w:rPr>
            </w:pPr>
          </w:p>
        </w:tc>
      </w:tr>
      <w:tr w14:paraId="2E3D5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5B8C3E42">
            <w:pPr>
              <w:widowControl w:val="0"/>
              <w:spacing w:line="360" w:lineRule="auto"/>
              <w:jc w:val="both"/>
              <w:rPr>
                <w:color w:val="000000"/>
                <w:sz w:val="28"/>
                <w:szCs w:val="28"/>
                <w:lang w:bidi="ru-RU"/>
              </w:rPr>
            </w:pPr>
          </w:p>
        </w:tc>
      </w:tr>
      <w:tr w14:paraId="0885B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0236B9E2">
            <w:pPr>
              <w:widowControl w:val="0"/>
              <w:spacing w:line="360" w:lineRule="auto"/>
              <w:jc w:val="both"/>
              <w:rPr>
                <w:color w:val="000000"/>
                <w:sz w:val="28"/>
                <w:szCs w:val="28"/>
                <w:lang w:bidi="ru-RU"/>
              </w:rPr>
            </w:pPr>
          </w:p>
        </w:tc>
      </w:tr>
      <w:tr w14:paraId="0E36B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0E0919FD">
            <w:pPr>
              <w:widowControl w:val="0"/>
              <w:spacing w:line="360" w:lineRule="auto"/>
              <w:jc w:val="both"/>
              <w:rPr>
                <w:color w:val="000000"/>
                <w:sz w:val="28"/>
                <w:szCs w:val="28"/>
                <w:lang w:bidi="ru-RU"/>
              </w:rPr>
            </w:pPr>
          </w:p>
        </w:tc>
      </w:tr>
      <w:tr w14:paraId="12A7E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63717525">
            <w:pPr>
              <w:widowControl w:val="0"/>
              <w:spacing w:line="360" w:lineRule="auto"/>
              <w:jc w:val="both"/>
              <w:rPr>
                <w:color w:val="000000"/>
                <w:sz w:val="28"/>
                <w:szCs w:val="28"/>
                <w:lang w:bidi="ru-RU"/>
              </w:rPr>
            </w:pPr>
          </w:p>
        </w:tc>
      </w:tr>
    </w:tbl>
    <w:p w14:paraId="0CB9232C">
      <w:pPr>
        <w:widowControl w:val="0"/>
        <w:tabs>
          <w:tab w:val="left" w:leader="underscore" w:pos="0"/>
        </w:tabs>
        <w:spacing w:line="360" w:lineRule="auto"/>
        <w:ind w:right="-38"/>
        <w:jc w:val="center"/>
        <w:rPr>
          <w:color w:val="000000"/>
          <w:sz w:val="28"/>
          <w:szCs w:val="28"/>
          <w:lang w:bidi="ru-RU"/>
        </w:rPr>
      </w:pPr>
      <w:r>
        <w:rPr>
          <w:b/>
          <w:color w:val="000000"/>
          <w:sz w:val="28"/>
          <w:szCs w:val="28"/>
          <w:lang w:bidi="ru-RU"/>
        </w:rPr>
        <w:t>2. Решение задачи</w:t>
      </w:r>
    </w:p>
    <w:p w14:paraId="3586F7E5">
      <w:pPr>
        <w:widowControl w:val="0"/>
        <w:spacing w:line="360" w:lineRule="auto"/>
        <w:ind w:firstLine="709"/>
        <w:jc w:val="both"/>
        <w:rPr>
          <w:color w:val="000000"/>
          <w:sz w:val="28"/>
          <w:szCs w:val="28"/>
          <w:lang w:bidi="ru-RU"/>
        </w:rPr>
      </w:pPr>
      <w:r>
        <w:rPr>
          <w:color w:val="000000"/>
          <w:sz w:val="28"/>
          <w:szCs w:val="28"/>
          <w:lang w:bidi="ru-RU"/>
        </w:rPr>
        <w:t>Составить схему электроснабжения, обеспечивающие бесперебойность питания нагрузке_________________________________________ (наименование предприятия или цеха). Предприятие (цех) получает питание от_________________________________________________________________________________ (вид и напряжение источника).</w:t>
      </w:r>
    </w:p>
    <w:p w14:paraId="15E0ECC7">
      <w:pPr>
        <w:widowControl w:val="0"/>
        <w:tabs>
          <w:tab w:val="left" w:leader="underscore" w:pos="9173"/>
        </w:tabs>
        <w:spacing w:line="360" w:lineRule="auto"/>
        <w:ind w:firstLine="709"/>
        <w:jc w:val="both"/>
        <w:rPr>
          <w:color w:val="000000"/>
          <w:sz w:val="28"/>
          <w:szCs w:val="28"/>
          <w:lang w:bidi="ru-RU"/>
        </w:rPr>
      </w:pPr>
      <w:r>
        <w:rPr>
          <w:color w:val="000000"/>
          <w:sz w:val="28"/>
          <w:szCs w:val="28"/>
          <w:lang w:bidi="ru-RU"/>
        </w:rPr>
        <w:t>Подключена</w:t>
      </w:r>
      <w:r>
        <w:rPr>
          <w:color w:val="000000"/>
          <w:sz w:val="28"/>
          <w:szCs w:val="28"/>
          <w:lang w:bidi="ru-RU"/>
        </w:rPr>
        <w:tab/>
      </w:r>
    </w:p>
    <w:p w14:paraId="70E846F0">
      <w:pPr>
        <w:widowControl w:val="0"/>
        <w:tabs>
          <w:tab w:val="left" w:leader="underscore" w:pos="1921"/>
        </w:tabs>
        <w:spacing w:line="360" w:lineRule="auto"/>
        <w:jc w:val="both"/>
        <w:rPr>
          <w:color w:val="000000"/>
          <w:sz w:val="28"/>
          <w:szCs w:val="28"/>
          <w:lang w:bidi="ru-RU"/>
        </w:rPr>
      </w:pPr>
      <w:r>
        <w:rPr>
          <w:color w:val="000000"/>
          <w:sz w:val="28"/>
          <w:szCs w:val="28"/>
          <w:lang w:bidi="ru-RU"/>
        </w:rPr>
        <w:tab/>
      </w:r>
      <w:r>
        <w:rPr>
          <w:color w:val="000000"/>
          <w:sz w:val="28"/>
          <w:szCs w:val="28"/>
          <w:lang w:bidi="ru-RU"/>
        </w:rPr>
        <w:t>_______________ (вид нагрузки, категория надежности, напряжение приемников).</w:t>
      </w:r>
    </w:p>
    <w:p w14:paraId="19F64B51">
      <w:pPr>
        <w:widowControl w:val="0"/>
        <w:spacing w:line="276" w:lineRule="auto"/>
        <w:ind w:firstLine="709"/>
        <w:jc w:val="both"/>
        <w:rPr>
          <w:color w:val="000000"/>
          <w:sz w:val="28"/>
          <w:szCs w:val="28"/>
          <w:lang w:bidi="ru-RU"/>
        </w:rPr>
      </w:pPr>
      <w:r>
        <w:rPr>
          <w:color w:val="000000"/>
          <w:sz w:val="28"/>
          <w:szCs w:val="28"/>
          <w:lang w:bidi="ru-RU"/>
        </w:rPr>
        <w:t>Решение:_______________________________________________________________</w:t>
      </w:r>
      <w:bookmarkStart w:id="0" w:name="_GoBack"/>
      <w:bookmarkEnd w:id="0"/>
    </w:p>
    <w:p w14:paraId="18B42C15">
      <w:pPr>
        <w:widowControl w:val="0"/>
        <w:spacing w:line="360" w:lineRule="auto"/>
        <w:ind w:firstLine="709"/>
        <w:jc w:val="both"/>
        <w:rPr>
          <w:b/>
          <w:color w:val="000000"/>
          <w:sz w:val="28"/>
          <w:szCs w:val="28"/>
          <w:lang w:bidi="ru-RU"/>
        </w:rPr>
      </w:pPr>
    </w:p>
    <w:p w14:paraId="530BEA4F">
      <w:pPr>
        <w:widowControl w:val="0"/>
        <w:spacing w:line="360" w:lineRule="auto"/>
        <w:ind w:firstLine="709"/>
        <w:jc w:val="both"/>
        <w:rPr>
          <w:b/>
          <w:color w:val="000000"/>
          <w:sz w:val="28"/>
          <w:szCs w:val="28"/>
          <w:lang w:bidi="ru-RU"/>
        </w:rPr>
      </w:pPr>
      <w:r>
        <w:rPr>
          <w:b/>
          <w:color w:val="000000"/>
          <w:sz w:val="28"/>
          <w:szCs w:val="28"/>
          <w:lang w:bidi="ru-RU"/>
        </w:rPr>
        <w:t>3. Начертить выбранную Схему Электроснабжения.</w:t>
      </w:r>
    </w:p>
    <w:p w14:paraId="0B28B9E2">
      <w:pPr>
        <w:widowControl w:val="0"/>
        <w:spacing w:line="360" w:lineRule="auto"/>
        <w:ind w:firstLine="709"/>
        <w:jc w:val="both"/>
        <w:rPr>
          <w:b/>
          <w:color w:val="000000"/>
          <w:sz w:val="28"/>
          <w:szCs w:val="28"/>
          <w:lang w:bidi="ru-RU"/>
        </w:rPr>
      </w:pPr>
    </w:p>
    <w:p w14:paraId="6CFA0E41"/>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New Roman CYR">
    <w:altName w:val="Times New Roman"/>
    <w:panose1 w:val="00000000000000000000"/>
    <w:charset w:val="00"/>
    <w:family w:val="roman"/>
    <w:pitch w:val="default"/>
    <w:sig w:usb0="00000000" w:usb1="00000000"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F636B6"/>
    <w:multiLevelType w:val="multilevel"/>
    <w:tmpl w:val="2FF636B6"/>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6"/>
        <w:szCs w:val="26"/>
        <w:u w:val="none"/>
        <w:lang w:val="ru-RU" w:eastAsia="ru-RU" w:bidi="ru-RU"/>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8E3E3E"/>
    <w:rsid w:val="5E3153C3"/>
    <w:rsid w:val="748E3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
    <w:name w:val="Основной текст (3)"/>
    <w:basedOn w:val="1"/>
    <w:qFormat/>
    <w:uiPriority w:val="0"/>
    <w:pPr>
      <w:widowControl w:val="0"/>
      <w:shd w:val="clear" w:color="auto" w:fill="FFFFFF"/>
      <w:spacing w:line="322" w:lineRule="exact"/>
      <w:jc w:val="center"/>
    </w:pPr>
    <w:rPr>
      <w:b/>
      <w:bCs/>
      <w:sz w:val="26"/>
      <w:szCs w:val="26"/>
      <w:lang w:eastAsia="en-US"/>
    </w:rPr>
  </w:style>
  <w:style w:type="character" w:customStyle="1" w:styleId="6">
    <w:name w:val="Подпись к картинке (2)"/>
    <w:basedOn w:val="2"/>
    <w:qFormat/>
    <w:uiPriority w:val="0"/>
    <w:rPr>
      <w:rFonts w:ascii="Times New Roman" w:hAnsi="Times New Roman" w:eastAsia="Times New Roman" w:cs="Times New Roman"/>
      <w:color w:val="528BC0"/>
      <w:spacing w:val="0"/>
      <w:w w:val="100"/>
      <w:position w:val="0"/>
      <w:sz w:val="16"/>
      <w:szCs w:val="16"/>
      <w:u w:val="none"/>
      <w:lang w:val="ru-RU" w:eastAsia="ru-RU" w:bidi="ru-RU"/>
    </w:rPr>
  </w:style>
  <w:style w:type="paragraph" w:customStyle="1" w:styleId="7">
    <w:name w:val="Подпись к картинке (3)"/>
    <w:basedOn w:val="1"/>
    <w:qFormat/>
    <w:uiPriority w:val="0"/>
    <w:pPr>
      <w:widowControl w:val="0"/>
      <w:shd w:val="clear" w:color="auto" w:fill="FFFFFF"/>
      <w:spacing w:line="244" w:lineRule="exact"/>
      <w:jc w:val="center"/>
    </w:pPr>
    <w:rPr>
      <w:b/>
      <w:bCs/>
      <w:sz w:val="22"/>
      <w:szCs w:val="22"/>
      <w:lang w:eastAsia="en-US"/>
    </w:rPr>
  </w:style>
  <w:style w:type="paragraph" w:customStyle="1" w:styleId="8">
    <w:name w:val="Основной текст (4)"/>
    <w:basedOn w:val="1"/>
    <w:qFormat/>
    <w:uiPriority w:val="0"/>
    <w:pPr>
      <w:widowControl w:val="0"/>
      <w:shd w:val="clear" w:color="auto" w:fill="FFFFFF"/>
      <w:spacing w:before="320" w:line="244" w:lineRule="exact"/>
      <w:ind w:hanging="960"/>
    </w:pPr>
    <w:rPr>
      <w:b/>
      <w:bCs/>
      <w:sz w:val="22"/>
      <w:szCs w:val="22"/>
      <w:lang w:eastAsia="en-US"/>
    </w:rPr>
  </w:style>
  <w:style w:type="character" w:customStyle="1" w:styleId="9">
    <w:name w:val="Подпись к картинке (3) Exact"/>
    <w:basedOn w:val="2"/>
    <w:qFormat/>
    <w:uiPriority w:val="0"/>
    <w:rPr>
      <w:rFonts w:ascii="Times New Roman" w:hAnsi="Times New Roman" w:eastAsia="Times New Roman" w:cs="Times New Roman"/>
      <w:b/>
      <w:bCs/>
      <w:sz w:val="22"/>
      <w:szCs w:val="22"/>
      <w:u w:val="none"/>
    </w:rPr>
  </w:style>
  <w:style w:type="paragraph" w:customStyle="1" w:styleId="10">
    <w:name w:val="Подпись к картинке"/>
    <w:basedOn w:val="1"/>
    <w:qFormat/>
    <w:uiPriority w:val="0"/>
    <w:pPr>
      <w:widowControl w:val="0"/>
      <w:shd w:val="clear" w:color="auto" w:fill="FFFFFF"/>
      <w:spacing w:line="322" w:lineRule="exact"/>
      <w:ind w:firstLine="700"/>
      <w:jc w:val="both"/>
    </w:pPr>
    <w:rPr>
      <w:sz w:val="26"/>
      <w:szCs w:val="26"/>
      <w:lang w:eastAsia="en-US"/>
    </w:rPr>
  </w:style>
  <w:style w:type="character" w:customStyle="1" w:styleId="11">
    <w:name w:val="Подпись к картинке Exact"/>
    <w:basedOn w:val="2"/>
    <w:qFormat/>
    <w:uiPriority w:val="0"/>
    <w:rPr>
      <w:rFonts w:ascii="Times New Roman" w:hAnsi="Times New Roman" w:eastAsia="Times New Roman" w:cs="Times New Roman"/>
      <w:sz w:val="26"/>
      <w:szCs w:val="26"/>
      <w:u w:val="none"/>
    </w:rPr>
  </w:style>
  <w:style w:type="paragraph" w:customStyle="1" w:styleId="12">
    <w:name w:val="Подпись к картинке (4)"/>
    <w:basedOn w:val="1"/>
    <w:qFormat/>
    <w:uiPriority w:val="0"/>
    <w:pPr>
      <w:widowControl w:val="0"/>
      <w:shd w:val="clear" w:color="auto" w:fill="FFFFFF"/>
      <w:spacing w:before="80" w:line="600" w:lineRule="exact"/>
    </w:pPr>
    <w:rPr>
      <w:rFonts w:ascii="Calibri" w:hAnsi="Calibri" w:eastAsia="Calibri" w:cs="Calibri"/>
      <w:sz w:val="17"/>
      <w:szCs w:val="17"/>
      <w:lang w:eastAsia="en-US"/>
    </w:rPr>
  </w:style>
  <w:style w:type="character" w:customStyle="1" w:styleId="13">
    <w:name w:val="Основной текст (2) + Полужирный"/>
    <w:basedOn w:val="2"/>
    <w:qFormat/>
    <w:uiPriority w:val="0"/>
    <w:rPr>
      <w:rFonts w:ascii="Times New Roman" w:hAnsi="Times New Roman" w:eastAsia="Times New Roman" w:cs="Times New Roman"/>
      <w:b/>
      <w:bCs/>
      <w:color w:val="000000"/>
      <w:spacing w:val="0"/>
      <w:w w:val="100"/>
      <w:position w:val="0"/>
      <w:sz w:val="26"/>
      <w:szCs w:val="26"/>
      <w:u w:val="none"/>
      <w:lang w:val="ru-RU" w:eastAsia="ru-RU" w:bidi="ru-RU"/>
    </w:rPr>
  </w:style>
  <w:style w:type="paragraph" w:customStyle="1" w:styleId="14">
    <w:name w:val="Подпись к таблице (3)"/>
    <w:basedOn w:val="1"/>
    <w:qFormat/>
    <w:uiPriority w:val="0"/>
    <w:pPr>
      <w:widowControl w:val="0"/>
      <w:shd w:val="clear" w:color="auto" w:fill="FFFFFF"/>
      <w:spacing w:after="140" w:line="244" w:lineRule="exact"/>
      <w:jc w:val="center"/>
    </w:pPr>
    <w:rPr>
      <w:b/>
      <w:bCs/>
      <w:sz w:val="22"/>
      <w:szCs w:val="22"/>
      <w:lang w:eastAsia="en-US"/>
    </w:rPr>
  </w:style>
  <w:style w:type="character" w:customStyle="1" w:styleId="15">
    <w:name w:val="Основной текст (2)"/>
    <w:basedOn w:val="2"/>
    <w:qFormat/>
    <w:uiPriority w:val="0"/>
    <w:rPr>
      <w:rFonts w:ascii="Times New Roman" w:hAnsi="Times New Roman" w:eastAsia="Times New Roman" w:cs="Times New Roman"/>
      <w:color w:val="000000"/>
      <w:spacing w:val="0"/>
      <w:w w:val="100"/>
      <w:position w:val="0"/>
      <w:sz w:val="26"/>
      <w:szCs w:val="26"/>
      <w:u w:val="none"/>
      <w:lang w:val="ru-RU" w:eastAsia="ru-RU" w:bidi="ru-RU"/>
    </w:rPr>
  </w:style>
</w:styles>
</file>

<file path=word/_rels/document.xml.rels><?xml version="1.0" encoding="UTF-8" standalone="yes"?>
<Relationships xmlns="http://schemas.openxmlformats.org/package/2006/relationships"><Relationship Id="rId9" Type="http://schemas.openxmlformats.org/officeDocument/2006/relationships/image" Target="AppData/Local/Temp/ABBYY/PDFTransformer/12.00/media/image2.jpeg" TargetMode="External"/><Relationship Id="rId8" Type="http://schemas.openxmlformats.org/officeDocument/2006/relationships/image" Target="media/image2.jpeg"/><Relationship Id="rId7" Type="http://schemas.openxmlformats.org/officeDocument/2006/relationships/image" Target="AppData/Local/Temp/ABBYY/PDFTransformer/12.00/media/image1.jpeg" TargetMode="Externa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GIF"/><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GIF"/><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54</Pages>
  <Words>0</Words>
  <Characters>0</Characters>
  <Lines>0</Lines>
  <Paragraphs>0</Paragraphs>
  <TotalTime>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2025-05-08T06:00:00Z</dcterms:created>
  <dc:creator>Asdian Katana</dc:creator>
  <cp:lastModifiedBy>Asdian Katana</cp:lastModifiedBy>
  <dcterms:modified xsi:type="dcterms:W3CDTF">2025-05-08T06:05:52Z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DB77C34CC0E0433D86D9D282055706AA_11</vt:lpwstr>
  </property>
</Properties>
</file>