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rPr>
          <w:b/>
          <w:bCs/>
          <w:color w:val="2E8B6F"/>
          <w:sz w:val="22"/>
          <w:szCs w:val="22"/>
        </w:rPr>
        <w:t xml:space="preserve">LINK4 CORPORATION</w:t>
      </w:r>
    </w:p>
    <w:p>
      <w:pPr>
        <w:pBdr>
          <w:bottom w:val="single" w:color="1F3864" w:sz="18" w:space="4"/>
        </w:pBdr>
        <w:spacing w:after="0" w:before="60"/>
      </w:pPr>
      <w:r>
        <w:rPr>
          <w:b/>
          <w:bCs/>
          <w:color w:val="1F3864"/>
          <w:sz w:val="44"/>
          <w:szCs w:val="44"/>
        </w:rPr>
        <w:t xml:space="preserve">Conversation &amp; Objection Guide</w:t>
      </w:r>
    </w:p>
    <w:p>
      <w:pPr>
        <w:spacing w:after="0" w:before="160"/>
      </w:pPr>
      <w:r>
        <w:rPr>
          <w:color w:val="404040"/>
          <w:sz w:val="26"/>
          <w:szCs w:val="26"/>
        </w:rPr>
        <w:t xml:space="preserve">T-Y Nursery, Inc. — HydroRoot Smart Irrigation</w:t>
      </w:r>
    </w:p>
    <w:p>
      <w:pPr>
        <w:spacing w:after="0" w:before="40"/>
      </w:pPr>
      <w:r>
        <w:rPr>
          <w:b/>
          <w:bCs/>
          <w:color w:val="1F3864"/>
          <w:sz w:val="19"/>
          <w:szCs w:val="19"/>
        </w:rPr>
        <w:t xml:space="preserve">Prepared for:  </w:t>
      </w:r>
      <w:r>
        <w:rPr>
          <w:color w:val="404040"/>
          <w:sz w:val="19"/>
          <w:szCs w:val="19"/>
        </w:rPr>
        <w:t xml:space="preserve">Asees — Link4 Sales (Drew, Dustin, John, Yen)</w:t>
      </w:r>
    </w:p>
    <w:p>
      <w:pPr>
        <w:spacing w:after="0" w:before="40"/>
      </w:pPr>
      <w:r>
        <w:rPr>
          <w:b/>
          <w:bCs/>
          <w:color w:val="1F3864"/>
          <w:sz w:val="19"/>
          <w:szCs w:val="19"/>
        </w:rPr>
        <w:t xml:space="preserve">Use:  </w:t>
      </w:r>
      <w:r>
        <w:rPr>
          <w:color w:val="404040"/>
          <w:sz w:val="19"/>
          <w:szCs w:val="19"/>
        </w:rPr>
        <w:t xml:space="preserve">Live call / walkthrough / email playbook — questions ranked by channel + objections per contact</w:t>
      </w:r>
    </w:p>
    <w:p>
      <w:pPr>
        <w:spacing w:after="0" w:before="40"/>
      </w:pPr>
      <w:r>
        <w:rPr>
          <w:b/>
          <w:bCs/>
          <w:color w:val="1F3864"/>
          <w:sz w:val="19"/>
          <w:szCs w:val="19"/>
        </w:rPr>
        <w:t xml:space="preserve">Date:  </w:t>
      </w:r>
      <w:r>
        <w:rPr>
          <w:color w:val="404040"/>
          <w:sz w:val="19"/>
          <w:szCs w:val="19"/>
        </w:rPr>
        <w:t xml:space="preserve">June 2026</w:t>
      </w:r>
    </w:p>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B6F" w:sz="4"/>
              <w:left w:val="single" w:color="2E8B6F" w:sz="18"/>
              <w:bottom w:val="single" w:color="2E8B6F" w:sz="4"/>
              <w:right w:val="single" w:color="2E8B6F" w:sz="4"/>
            </w:tcBorders>
            <w:shd w:fill="D9E2F3" w:val="clear"/>
            <w:tcMar>
              <w:top w:type="dxa" w:w="110"/>
              <w:left w:type="dxa" w:w="160"/>
              <w:bottom w:type="dxa" w:w="110"/>
              <w:right w:type="dxa" w:w="140"/>
            </w:tcMar>
          </w:tcPr>
          <w:p>
            <w:pPr>
              <w:spacing w:after="0" w:before="0" w:line="264"/>
            </w:pPr>
            <w:r>
              <w:rPr>
                <w:b/>
                <w:bCs/>
                <w:color w:val="1F3864"/>
              </w:rPr>
              <w:t xml:space="preserve">How this guide works. </w:t>
            </w:r>
            <w:r>
              <w:t xml:space="preserve">Every question is tied to that specific person’s job — the CEO gets capital/ROI/legacy questions, the water lead gets daily-reality questions, the IT/production manager gets systems/integration questions, purchasing gets process questions. On a cold call you have ~60 seconds to earn 5 minutes, so use 1–2 questions max. Save the deeper set for the walkthrough. Objections are written from each person’s point of view: acknowledge → redirect → never argue.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B6F" w:sz="4"/>
              <w:left w:val="single" w:color="2E8B6F" w:sz="18"/>
              <w:bottom w:val="single" w:color="2E8B6F" w:sz="4"/>
              <w:right w:val="single" w:color="2E8B6F" w:sz="4"/>
            </w:tcBorders>
            <w:shd w:fill="1F3864" w:val="clear"/>
            <w:tcMar>
              <w:top w:type="dxa" w:w="110"/>
              <w:left w:type="dxa" w:w="160"/>
              <w:bottom w:type="dxa" w:w="110"/>
              <w:right w:type="dxa" w:w="140"/>
            </w:tcMar>
          </w:tcPr>
          <w:p>
            <w:pPr>
              <w:spacing w:after="20"/>
            </w:pPr>
            <w:r>
              <w:rPr>
                <w:b/>
                <w:bCs/>
                <w:color w:val="FFFFFF"/>
                <w:sz w:val="28"/>
                <w:szCs w:val="28"/>
              </w:rPr>
              <w:t xml:space="preserve">Tomoharu Iwo</w:t>
            </w:r>
            <w:r>
              <w:rPr>
                <w:color w:val="E8EEF6"/>
                <w:sz w:val="21"/>
                <w:szCs w:val="21"/>
              </w:rPr>
              <w:t xml:space="preserve">   Production / IT Manager · Plant California Alliance Sec/Treasurer</w:t>
            </w:r>
          </w:p>
        </w:tc>
      </w:tr>
    </w:tbl>
    <w:p>
      <w:pPr>
        <w:spacing w:after="40"/>
      </w:pPr>
      <w:r>
        <w:t xml:space="preserve"/>
      </w:r>
    </w:p>
    <w:p>
      <w:pPr>
        <w:spacing w:after="30" w:before="0" w:line="264"/>
      </w:pPr>
      <w:r>
        <w:rPr>
          <w:b/>
          <w:bCs/>
          <w:color w:val="1F6F54"/>
        </w:rPr>
        <w:t xml:space="preserve">Role: </w:t>
      </w:r>
      <w:r>
        <w:t xml:space="preserve">Owns production AND IT at T-Y, and is an officer of the statewide nursery association. He’s the technical evaluator, an operational decision-maker, and an industry leader on water/sustainability.</w:t>
      </w:r>
    </w:p>
    <w:p>
      <w:pPr>
        <w:spacing w:after="80" w:before="0" w:line="264"/>
      </w:pPr>
      <w:r>
        <w:rPr>
          <w:b/>
          <w:bCs/>
          <w:color w:val="1F6F54"/>
        </w:rPr>
        <w:t xml:space="preserve">Your angle: </w:t>
      </w:r>
      <w:r>
        <w:t xml:space="preserve">Peer-to-peer and technical. Treat him as a fellow professional shaping the industry, not a prospect. Win him and you win the technical yes plus a path to Terry.</w:t>
      </w:r>
    </w:p>
    <w:p>
      <w:pPr>
        <w:pStyle w:val="Heading3"/>
      </w:pPr>
      <w:r>
        <w:t xml:space="preserve">Cold call — 1–2 questions (60 seconds to earn 5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52"/>
            </w:pPr>
            <w:r>
              <w:rPr>
                <w:b/>
                <w:bCs/>
                <w:color w:val="FFFFFF"/>
                <w:sz w:val="20"/>
                <w:szCs w:val="20"/>
              </w:rPr>
              <w:t xml:space="preserve">Question</w:t>
            </w:r>
          </w:p>
        </w:tc>
        <w:tc>
          <w:tcPr>
            <w:tcW w:type="dxa" w:w="468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52"/>
            </w:pPr>
            <w:r>
              <w:rPr>
                <w:b/>
                <w:bCs/>
                <w:color w:val="FFFFFF"/>
                <w:sz w:val="20"/>
                <w:szCs w:val="20"/>
              </w:rPr>
              <w:t xml:space="preserve">What it reveals</w:t>
            </w:r>
          </w:p>
        </w:tc>
      </w:tr>
      <w:tr>
        <w:tc>
          <w:tcPr>
            <w:tcW w:type="dxa" w:w="468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t xml:space="preserve">Across your four ranches, what are you running for irrigation control today — and how much is centralized vs. on-site?</w:t>
            </w:r>
          </w:p>
        </w:tc>
        <w:tc>
          <w:tcPr>
            <w:tcW w:type="dxa" w:w="468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t xml:space="preserve">Reveals current system, the central-visibility gap, and where HydroRoot slots in.</w:t>
            </w:r>
          </w:p>
        </w:tc>
      </w:tr>
      <w:tr>
        <w:tc>
          <w:tcPr>
            <w:tcW w:type="dxa" w:w="4680"/>
            <w:tcBorders>
              <w:top w:val="single" w:color="BFBFBF" w:sz="1"/>
              <w:left w:val="single" w:color="BFBFBF" w:sz="1"/>
              <w:bottom w:val="single" w:color="BFBFBF" w:sz="1"/>
              <w:right w:val="single" w:color="BFBFBF" w:sz="1"/>
            </w:tcBorders>
            <w:shd w:fill="F2F5F9" w:val="clear"/>
            <w:tcMar>
              <w:top w:type="dxa" w:w="70"/>
              <w:left w:type="dxa" w:w="110"/>
              <w:bottom w:type="dxa" w:w="70"/>
              <w:right w:type="dxa" w:w="110"/>
            </w:tcMar>
            <w:vAlign w:val="center"/>
          </w:tcPr>
          <w:p>
            <w:pPr>
              <w:spacing w:after="0" w:line="252"/>
            </w:pPr>
            <w:r>
              <w:t xml:space="preserve">With the new Irrigation &amp; Nitrogen Management Plan rules, how are you capturing water-use data right now?</w:t>
            </w:r>
          </w:p>
        </w:tc>
        <w:tc>
          <w:tcPr>
            <w:tcW w:type="dxa" w:w="4680"/>
            <w:tcBorders>
              <w:top w:val="single" w:color="BFBFBF" w:sz="1"/>
              <w:left w:val="single" w:color="BFBFBF" w:sz="1"/>
              <w:bottom w:val="single" w:color="BFBFBF" w:sz="1"/>
              <w:right w:val="single" w:color="BFBFBF" w:sz="1"/>
            </w:tcBorders>
            <w:shd w:fill="F2F5F9" w:val="clear"/>
            <w:tcMar>
              <w:top w:type="dxa" w:w="70"/>
              <w:left w:type="dxa" w:w="110"/>
              <w:bottom w:type="dxa" w:w="70"/>
              <w:right w:type="dxa" w:w="110"/>
            </w:tcMar>
            <w:vAlign w:val="center"/>
          </w:tcPr>
          <w:p>
            <w:pPr>
              <w:spacing w:after="0" w:line="252"/>
            </w:pPr>
            <w:r>
              <w:t xml:space="preserve">Surfaces the compliance/logging pain and frames HydroRoot as a reporting tool, not just a savings tool.</w:t>
            </w:r>
          </w:p>
        </w:tc>
      </w:tr>
    </w:tbl>
    <w:p>
      <w:pPr>
        <w:spacing w:after="50"/>
      </w:pPr>
      <w:r>
        <w:t xml:space="preserve"/>
      </w:r>
    </w:p>
    <w:p>
      <w:pPr>
        <w:pStyle w:val="Heading3"/>
      </w:pPr>
      <w:r>
        <w:t xml:space="preserve">Walkthrough / sales meeting — deeper (20–30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52"/>
            </w:pPr>
            <w:r>
              <w:rPr>
                <w:b/>
                <w:bCs/>
                <w:color w:val="FFFFFF"/>
                <w:sz w:val="20"/>
                <w:szCs w:val="20"/>
              </w:rPr>
              <w:t xml:space="preserve">Question</w:t>
            </w:r>
          </w:p>
        </w:tc>
        <w:tc>
          <w:tcPr>
            <w:tcW w:type="dxa" w:w="468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52"/>
            </w:pPr>
            <w:r>
              <w:rPr>
                <w:b/>
                <w:bCs/>
                <w:color w:val="FFFFFF"/>
                <w:sz w:val="20"/>
                <w:szCs w:val="20"/>
              </w:rPr>
              <w:t xml:space="preserve">What it reveals</w:t>
            </w:r>
          </w:p>
        </w:tc>
      </w:tr>
      <w:tr>
        <w:tc>
          <w:tcPr>
            <w:tcW w:type="dxa" w:w="468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t xml:space="preserve">When a controller or valve fails at, say, Pauma or Escondido, how do you find out and how long until it’s handled?</w:t>
            </w:r>
          </w:p>
        </w:tc>
        <w:tc>
          <w:tcPr>
            <w:tcW w:type="dxa" w:w="468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t xml:space="preserve">Quantifies the cost of no remote monitoring (truck-rolls, plant loss, response lag).</w:t>
            </w:r>
          </w:p>
        </w:tc>
      </w:tr>
      <w:tr>
        <w:tc>
          <w:tcPr>
            <w:tcW w:type="dxa" w:w="4680"/>
            <w:tcBorders>
              <w:top w:val="single" w:color="BFBFBF" w:sz="1"/>
              <w:left w:val="single" w:color="BFBFBF" w:sz="1"/>
              <w:bottom w:val="single" w:color="BFBFBF" w:sz="1"/>
              <w:right w:val="single" w:color="BFBFBF" w:sz="1"/>
            </w:tcBorders>
            <w:shd w:fill="F2F5F9" w:val="clear"/>
            <w:tcMar>
              <w:top w:type="dxa" w:w="70"/>
              <w:left w:type="dxa" w:w="110"/>
              <w:bottom w:type="dxa" w:w="70"/>
              <w:right w:type="dxa" w:w="110"/>
            </w:tcMar>
            <w:vAlign w:val="center"/>
          </w:tcPr>
          <w:p>
            <w:pPr>
              <w:spacing w:after="0" w:line="252"/>
            </w:pPr>
            <w:r>
              <w:t xml:space="preserve">If you could see and control every zone across all four sites from one screen, what would that change operationally?</w:t>
            </w:r>
          </w:p>
        </w:tc>
        <w:tc>
          <w:tcPr>
            <w:tcW w:type="dxa" w:w="4680"/>
            <w:tcBorders>
              <w:top w:val="single" w:color="BFBFBF" w:sz="1"/>
              <w:left w:val="single" w:color="BFBFBF" w:sz="1"/>
              <w:bottom w:val="single" w:color="BFBFBF" w:sz="1"/>
              <w:right w:val="single" w:color="BFBFBF" w:sz="1"/>
            </w:tcBorders>
            <w:shd w:fill="F2F5F9" w:val="clear"/>
            <w:tcMar>
              <w:top w:type="dxa" w:w="70"/>
              <w:left w:type="dxa" w:w="110"/>
              <w:bottom w:type="dxa" w:w="70"/>
              <w:right w:type="dxa" w:w="110"/>
            </w:tcMar>
            <w:vAlign w:val="center"/>
          </w:tcPr>
          <w:p>
            <w:pPr>
              <w:spacing w:after="0" w:line="252"/>
            </w:pPr>
            <w:r>
              <w:t xml:space="preserve">Gets him describing the value in his own words — the central-control vision.</w:t>
            </w:r>
          </w:p>
        </w:tc>
      </w:tr>
      <w:tr>
        <w:tc>
          <w:tcPr>
            <w:tcW w:type="dxa" w:w="468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t xml:space="preserve">What would you need to see, technically, to trust a controller on a production block?</w:t>
            </w:r>
          </w:p>
        </w:tc>
        <w:tc>
          <w:tcPr>
            <w:tcW w:type="dxa" w:w="468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t xml:space="preserve">Uncovers his evaluation criteria (reliability, integration, support) so you can address them head-on.</w:t>
            </w:r>
          </w:p>
        </w:tc>
      </w:tr>
      <w:tr>
        <w:tc>
          <w:tcPr>
            <w:tcW w:type="dxa" w:w="4680"/>
            <w:tcBorders>
              <w:top w:val="single" w:color="BFBFBF" w:sz="1"/>
              <w:left w:val="single" w:color="BFBFBF" w:sz="1"/>
              <w:bottom w:val="single" w:color="BFBFBF" w:sz="1"/>
              <w:right w:val="single" w:color="BFBFBF" w:sz="1"/>
            </w:tcBorders>
            <w:shd w:fill="F2F5F9" w:val="clear"/>
            <w:tcMar>
              <w:top w:type="dxa" w:w="70"/>
              <w:left w:type="dxa" w:w="110"/>
              <w:bottom w:type="dxa" w:w="70"/>
              <w:right w:type="dxa" w:w="110"/>
            </w:tcMar>
            <w:vAlign w:val="center"/>
          </w:tcPr>
          <w:p>
            <w:pPr>
              <w:spacing w:after="0" w:line="252"/>
            </w:pPr>
            <w:r>
              <w:t xml:space="preserve">How do you currently pull water-use numbers when the state or the board asks for them?</w:t>
            </w:r>
          </w:p>
        </w:tc>
        <w:tc>
          <w:tcPr>
            <w:tcW w:type="dxa" w:w="4680"/>
            <w:tcBorders>
              <w:top w:val="single" w:color="BFBFBF" w:sz="1"/>
              <w:left w:val="single" w:color="BFBFBF" w:sz="1"/>
              <w:bottom w:val="single" w:color="BFBFBF" w:sz="1"/>
              <w:right w:val="single" w:color="BFBFBF" w:sz="1"/>
            </w:tcBorders>
            <w:shd w:fill="F2F5F9" w:val="clear"/>
            <w:tcMar>
              <w:top w:type="dxa" w:w="70"/>
              <w:left w:type="dxa" w:w="110"/>
              <w:bottom w:type="dxa" w:w="70"/>
              <w:right w:type="dxa" w:w="110"/>
            </w:tcMar>
            <w:vAlign w:val="center"/>
          </w:tcPr>
          <w:p>
            <w:pPr>
              <w:spacing w:after="0" w:line="252"/>
            </w:pPr>
            <w:r>
              <w:t xml:space="preserve">Doubles down on compliance; ties his association role to a concrete in-house pain.</w:t>
            </w:r>
          </w:p>
        </w:tc>
      </w:tr>
      <w:tr>
        <w:tc>
          <w:tcPr>
            <w:tcW w:type="dxa" w:w="468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t xml:space="preserve">If a one-block pilot showed 20–30% savings, who else needs to be in the room to scale it?</w:t>
            </w:r>
          </w:p>
        </w:tc>
        <w:tc>
          <w:tcPr>
            <w:tcW w:type="dxa" w:w="468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t xml:space="preserve">Maps the decision unit and teases up the path to Terry.</w:t>
            </w:r>
          </w:p>
        </w:tc>
      </w:tr>
    </w:tbl>
    <w:p>
      <w:pPr>
        <w:spacing w:after="50"/>
      </w:pPr>
      <w:r>
        <w:t xml:space="preserve"/>
      </w:r>
    </w:p>
    <w:p>
      <w:pPr>
        <w:pStyle w:val="Heading3"/>
      </w:pPr>
      <w:r>
        <w:t xml:space="preserve">Email hooks (angles, not full emails)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3800"/>
      </w:tblGrid>
      <w:tr>
        <w:trPr>
          <w:tblHeader/>
        </w:trPr>
        <w:tc>
          <w:tcPr>
            <w:tcW w:type="dxa" w:w="556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52"/>
            </w:pPr>
            <w:r>
              <w:rPr>
                <w:b/>
                <w:bCs/>
                <w:color w:val="FFFFFF"/>
                <w:sz w:val="20"/>
                <w:szCs w:val="20"/>
              </w:rPr>
              <w:t xml:space="preserve">Hook</w:t>
            </w:r>
          </w:p>
        </w:tc>
        <w:tc>
          <w:tcPr>
            <w:tcW w:type="dxa" w:w="38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52"/>
            </w:pPr>
            <w:r>
              <w:rPr>
                <w:b/>
                <w:bCs/>
                <w:color w:val="FFFFFF"/>
                <w:sz w:val="20"/>
                <w:szCs w:val="20"/>
              </w:rPr>
              <w:t xml:space="preserve">Goal</w:t>
            </w:r>
          </w:p>
        </w:tc>
      </w:tr>
      <w:tr>
        <w:tc>
          <w:tcPr>
            <w:tcW w:type="dxa" w:w="55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t xml:space="preserve">Reference his Plant California Alliance role + the new state water-monitoring rules; ask his read on automating irrigation.</w:t>
            </w:r>
          </w:p>
        </w:tc>
        <w:tc>
          <w:tcPr>
            <w:tcW w:type="dxa" w:w="38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t xml:space="preserve">Get a reply by appealing to his industry-leader identity.</w:t>
            </w:r>
          </w:p>
        </w:tc>
      </w:tr>
      <w:tr>
        <w:tc>
          <w:tcPr>
            <w:tcW w:type="dxa" w:w="5560"/>
            <w:tcBorders>
              <w:top w:val="single" w:color="BFBFBF" w:sz="1"/>
              <w:left w:val="single" w:color="BFBFBF" w:sz="1"/>
              <w:bottom w:val="single" w:color="BFBFBF" w:sz="1"/>
              <w:right w:val="single" w:color="BFBFBF" w:sz="1"/>
            </w:tcBorders>
            <w:shd w:fill="F2F5F9" w:val="clear"/>
            <w:tcMar>
              <w:top w:type="dxa" w:w="70"/>
              <w:left w:type="dxa" w:w="110"/>
              <w:bottom w:type="dxa" w:w="70"/>
              <w:right w:type="dxa" w:w="110"/>
            </w:tcMar>
            <w:vAlign w:val="center"/>
          </w:tcPr>
          <w:p>
            <w:pPr>
              <w:spacing w:after="0" w:line="252"/>
            </w:pPr>
            <w:r>
              <w:t xml:space="preserve">“How are you handling water-use logging for the management plans across four sites?”</w:t>
            </w:r>
          </w:p>
        </w:tc>
        <w:tc>
          <w:tcPr>
            <w:tcW w:type="dxa" w:w="3800"/>
            <w:tcBorders>
              <w:top w:val="single" w:color="BFBFBF" w:sz="1"/>
              <w:left w:val="single" w:color="BFBFBF" w:sz="1"/>
              <w:bottom w:val="single" w:color="BFBFBF" w:sz="1"/>
              <w:right w:val="single" w:color="BFBFBF" w:sz="1"/>
            </w:tcBorders>
            <w:shd w:fill="F2F5F9" w:val="clear"/>
            <w:tcMar>
              <w:top w:type="dxa" w:w="70"/>
              <w:left w:type="dxa" w:w="110"/>
              <w:bottom w:type="dxa" w:w="70"/>
              <w:right w:type="dxa" w:w="110"/>
            </w:tcMar>
            <w:vAlign w:val="center"/>
          </w:tcPr>
          <w:p>
            <w:pPr>
              <w:spacing w:after="0" w:line="252"/>
            </w:pPr>
            <w:r>
              <w:t xml:space="preserve">Open a compliance-angle thread that leads to a walkthrough.</w:t>
            </w:r>
          </w:p>
        </w:tc>
      </w:tr>
      <w:tr>
        <w:tc>
          <w:tcPr>
            <w:tcW w:type="dxa" w:w="55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t xml:space="preserve">Offer to drop a HydroRoot unit at Torrance HQ so he can see the install (≈10 min) himself.</w:t>
            </w:r>
          </w:p>
        </w:tc>
        <w:tc>
          <w:tcPr>
            <w:tcW w:type="dxa" w:w="38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t xml:space="preserve">Convert to an in-person/walkthrough — his strongest channel.</w:t>
            </w:r>
          </w:p>
        </w:tc>
      </w:tr>
    </w:tbl>
    <w:p>
      <w:pPr>
        <w:spacing w:after="50"/>
      </w:pPr>
      <w:r>
        <w:t xml:space="preserve"/>
      </w:r>
    </w:p>
    <w:p>
      <w:pPr>
        <w:pStyle w:val="Heading3"/>
      </w:pPr>
      <w:r>
        <w:t xml:space="preserve">Objections — acknowledge → redirect → never argue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52"/>
            </w:pPr>
            <w:r>
              <w:rPr>
                <w:b/>
                <w:bCs/>
                <w:color w:val="FFFFFF"/>
                <w:sz w:val="20"/>
                <w:szCs w:val="20"/>
              </w:rPr>
              <w:t xml:space="preserve">They say</w:t>
            </w:r>
          </w:p>
        </w:tc>
        <w:tc>
          <w:tcPr>
            <w:tcW w:type="dxa" w:w="596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52"/>
            </w:pPr>
            <w:r>
              <w:rPr>
                <w:b/>
                <w:bCs/>
                <w:color w:val="FFFFFF"/>
                <w:sz w:val="20"/>
                <w:szCs w:val="20"/>
              </w:rPr>
              <w:t xml:space="preserve">You say</w:t>
            </w:r>
          </w:p>
        </w:tc>
      </w:tr>
      <w:tr>
        <w:tc>
          <w:tcPr>
            <w:tcW w:type="dxa" w:w="34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b/>
                <w:bCs/>
              </w:rPr>
              <w:t xml:space="preserve">We already have irrigation controllers.</w:t>
            </w:r>
          </w:p>
        </w:tc>
        <w:tc>
          <w:tcPr>
            <w:tcW w:type="dxa" w:w="59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t xml:space="preserve">Makes sense — what do they give you for remote visibility and exportable water-use data across all four ranches? That central piece is usually the gap, and it’s exactly what the state rules now want.</w:t>
            </w:r>
          </w:p>
        </w:tc>
      </w:tr>
      <w:tr>
        <w:tc>
          <w:tcPr>
            <w:tcW w:type="dxa" w:w="3400"/>
            <w:tcBorders>
              <w:top w:val="single" w:color="BFBFBF" w:sz="1"/>
              <w:left w:val="single" w:color="BFBFBF" w:sz="1"/>
              <w:bottom w:val="single" w:color="BFBFBF" w:sz="1"/>
              <w:right w:val="single" w:color="BFBFBF" w:sz="1"/>
            </w:tcBorders>
            <w:shd w:fill="F2F5F9" w:val="clear"/>
            <w:tcMar>
              <w:top w:type="dxa" w:w="70"/>
              <w:left w:type="dxa" w:w="110"/>
              <w:bottom w:type="dxa" w:w="70"/>
              <w:right w:type="dxa" w:w="110"/>
            </w:tcMar>
            <w:vAlign w:val="center"/>
          </w:tcPr>
          <w:p>
            <w:pPr>
              <w:spacing w:after="0" w:line="252"/>
            </w:pPr>
            <w:r>
              <w:rPr>
                <w:b/>
                <w:bCs/>
              </w:rPr>
              <w:t xml:space="preserve">I don’t have time to evaluate something new.</w:t>
            </w:r>
          </w:p>
        </w:tc>
        <w:tc>
          <w:tcPr>
            <w:tcW w:type="dxa" w:w="5960"/>
            <w:tcBorders>
              <w:top w:val="single" w:color="BFBFBF" w:sz="1"/>
              <w:left w:val="single" w:color="BFBFBF" w:sz="1"/>
              <w:bottom w:val="single" w:color="BFBFBF" w:sz="1"/>
              <w:right w:val="single" w:color="BFBFBF" w:sz="1"/>
            </w:tcBorders>
            <w:shd w:fill="F2F5F9" w:val="clear"/>
            <w:tcMar>
              <w:top w:type="dxa" w:w="70"/>
              <w:left w:type="dxa" w:w="110"/>
              <w:bottom w:type="dxa" w:w="70"/>
              <w:right w:type="dxa" w:w="110"/>
            </w:tcMar>
            <w:vAlign w:val="center"/>
          </w:tcPr>
          <w:p>
            <w:pPr>
              <w:spacing w:after="0" w:line="252"/>
            </w:pPr>
            <w:r>
              <w:t xml:space="preserve">That’s why we run a one-block pilot — ~10-minute install, we do the setup, you just watch the numbers for a few weeks.</w:t>
            </w:r>
          </w:p>
        </w:tc>
      </w:tr>
      <w:tr>
        <w:tc>
          <w:tcPr>
            <w:tcW w:type="dxa" w:w="34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b/>
                <w:bCs/>
              </w:rPr>
              <w:t xml:space="preserve">Integration with what we run would be a headache.</w:t>
            </w:r>
          </w:p>
        </w:tc>
        <w:tc>
          <w:tcPr>
            <w:tcW w:type="dxa" w:w="59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t xml:space="preserve">Fair concern — let’s confirm what you’re on before anything. If it’s not a clean fit, I’ll tell you. We’re in Anaheim, so support is a short drive, not a ticket queue.</w:t>
            </w:r>
          </w:p>
        </w:tc>
      </w:tr>
      <w:tr>
        <w:tc>
          <w:tcPr>
            <w:tcW w:type="dxa" w:w="3400"/>
            <w:tcBorders>
              <w:top w:val="single" w:color="BFBFBF" w:sz="1"/>
              <w:left w:val="single" w:color="BFBFBF" w:sz="1"/>
              <w:bottom w:val="single" w:color="BFBFBF" w:sz="1"/>
              <w:right w:val="single" w:color="BFBFBF" w:sz="1"/>
            </w:tcBorders>
            <w:shd w:fill="F2F5F9" w:val="clear"/>
            <w:tcMar>
              <w:top w:type="dxa" w:w="70"/>
              <w:left w:type="dxa" w:w="110"/>
              <w:bottom w:type="dxa" w:w="70"/>
              <w:right w:type="dxa" w:w="110"/>
            </w:tcMar>
            <w:vAlign w:val="center"/>
          </w:tcPr>
          <w:p>
            <w:pPr>
              <w:spacing w:after="0" w:line="252"/>
            </w:pPr>
            <w:r>
              <w:rPr>
                <w:b/>
                <w:bCs/>
              </w:rPr>
              <w:t xml:space="preserve">We’re a traditional operation; the crew won’t use an app.</w:t>
            </w:r>
          </w:p>
        </w:tc>
        <w:tc>
          <w:tcPr>
            <w:tcW w:type="dxa" w:w="5960"/>
            <w:tcBorders>
              <w:top w:val="single" w:color="BFBFBF" w:sz="1"/>
              <w:left w:val="single" w:color="BFBFBF" w:sz="1"/>
              <w:bottom w:val="single" w:color="BFBFBF" w:sz="1"/>
              <w:right w:val="single" w:color="BFBFBF" w:sz="1"/>
            </w:tcBorders>
            <w:shd w:fill="F2F5F9" w:val="clear"/>
            <w:tcMar>
              <w:top w:type="dxa" w:w="70"/>
              <w:left w:type="dxa" w:w="110"/>
              <w:bottom w:type="dxa" w:w="70"/>
              <w:right w:type="dxa" w:w="110"/>
            </w:tcMar>
            <w:vAlign w:val="center"/>
          </w:tcPr>
          <w:p>
            <w:pPr>
              <w:spacing w:after="0" w:line="252"/>
            </w:pPr>
            <w:r>
              <w:t xml:space="preserve">The yard view is simpler than a weather app, and you keep manual control. Most crews like seeing zones turn green instead of guessing.</w:t>
            </w:r>
          </w:p>
        </w:tc>
      </w:tr>
      <w:tr>
        <w:tc>
          <w:tcPr>
            <w:tcW w:type="dxa" w:w="34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b/>
                <w:bCs/>
              </w:rPr>
              <w:t xml:space="preserve">Is this even proven for nurseries like ours?</w:t>
            </w:r>
          </w:p>
        </w:tc>
        <w:tc>
          <w:tcPr>
            <w:tcW w:type="dxa" w:w="59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t xml:space="preserve">We work with commercial growers running similar container and zone irrigation. If you’d be our first nursery of this exact type, that’s an advantage — preferential pricing and direct engineering attention.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B6F" w:sz="4"/>
              <w:left w:val="single" w:color="2E8B6F" w:sz="18"/>
              <w:bottom w:val="single" w:color="2E8B6F" w:sz="4"/>
              <w:right w:val="single" w:color="2E8B6F" w:sz="4"/>
            </w:tcBorders>
            <w:shd w:fill="1F3864" w:val="clear"/>
            <w:tcMar>
              <w:top w:type="dxa" w:w="110"/>
              <w:left w:type="dxa" w:w="160"/>
              <w:bottom w:type="dxa" w:w="110"/>
              <w:right w:type="dxa" w:w="140"/>
            </w:tcMar>
          </w:tcPr>
          <w:p>
            <w:pPr>
              <w:spacing w:after="20"/>
            </w:pPr>
            <w:r>
              <w:rPr>
                <w:b/>
                <w:bCs/>
                <w:color w:val="FFFFFF"/>
                <w:sz w:val="28"/>
                <w:szCs w:val="28"/>
              </w:rPr>
              <w:t xml:space="preserve">Oggie Watson</w:t>
            </w:r>
            <w:r>
              <w:rPr>
                <w:color w:val="E8EEF6"/>
                <w:sz w:val="21"/>
                <w:szCs w:val="21"/>
              </w:rPr>
              <w:t xml:space="preserve">   Ambassador of Water</w:t>
            </w:r>
          </w:p>
        </w:tc>
      </w:tr>
    </w:tbl>
    <w:p>
      <w:pPr>
        <w:spacing w:after="40"/>
      </w:pPr>
      <w:r>
        <w:t xml:space="preserve"/>
      </w:r>
    </w:p>
    <w:p>
      <w:pPr>
        <w:spacing w:after="30" w:before="0" w:line="264"/>
      </w:pPr>
      <w:r>
        <w:rPr>
          <w:b/>
          <w:bCs/>
          <w:color w:val="1F6F54"/>
        </w:rPr>
        <w:t xml:space="preserve">Role: </w:t>
      </w:r>
      <w:r>
        <w:t xml:space="preserve">The person whose entire job is water across 800 acres. He lives the overwater/dry-out reality daily and knows exactly how watering decisions get made on the ground.</w:t>
      </w:r>
    </w:p>
    <w:p>
      <w:pPr>
        <w:spacing w:after="80" w:before="0" w:line="264"/>
      </w:pPr>
      <w:r>
        <w:rPr>
          <w:b/>
          <w:bCs/>
          <w:color w:val="1F6F54"/>
        </w:rPr>
        <w:t xml:space="preserve">Your angle: </w:t>
      </w:r>
      <w:r>
        <w:t xml:space="preserve">All about his daily reality — no ROI, no compliance, no capital talk. Make his hard job easier and let him be the hero who brought a smart fix to the ranch.</w:t>
      </w:r>
    </w:p>
    <w:p>
      <w:pPr>
        <w:pStyle w:val="Heading3"/>
      </w:pPr>
      <w:r>
        <w:t xml:space="preserve">Cold call — 1–2 questions (60 seconds to earn 5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52"/>
            </w:pPr>
            <w:r>
              <w:rPr>
                <w:b/>
                <w:bCs/>
                <w:color w:val="FFFFFF"/>
                <w:sz w:val="20"/>
                <w:szCs w:val="20"/>
              </w:rPr>
              <w:t xml:space="preserve">Question</w:t>
            </w:r>
          </w:p>
        </w:tc>
        <w:tc>
          <w:tcPr>
            <w:tcW w:type="dxa" w:w="468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52"/>
            </w:pPr>
            <w:r>
              <w:rPr>
                <w:b/>
                <w:bCs/>
                <w:color w:val="FFFFFF"/>
                <w:sz w:val="20"/>
                <w:szCs w:val="20"/>
              </w:rPr>
              <w:t xml:space="preserve">What it reveals</w:t>
            </w:r>
          </w:p>
        </w:tc>
      </w:tr>
      <w:tr>
        <w:tc>
          <w:tcPr>
            <w:tcW w:type="dxa" w:w="468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t xml:space="preserve">How do you decide when and how much each block gets watered today — feel, a schedule, or sensors?</w:t>
            </w:r>
          </w:p>
        </w:tc>
        <w:tc>
          <w:tcPr>
            <w:tcW w:type="dxa" w:w="468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t xml:space="preserve">Reveals the actual control method (almost always manual/timer) and his mental model.</w:t>
            </w:r>
          </w:p>
        </w:tc>
      </w:tr>
      <w:tr>
        <w:tc>
          <w:tcPr>
            <w:tcW w:type="dxa" w:w="4680"/>
            <w:tcBorders>
              <w:top w:val="single" w:color="BFBFBF" w:sz="1"/>
              <w:left w:val="single" w:color="BFBFBF" w:sz="1"/>
              <w:bottom w:val="single" w:color="BFBFBF" w:sz="1"/>
              <w:right w:val="single" w:color="BFBFBF" w:sz="1"/>
            </w:tcBorders>
            <w:shd w:fill="F2F5F9" w:val="clear"/>
            <w:tcMar>
              <w:top w:type="dxa" w:w="70"/>
              <w:left w:type="dxa" w:w="110"/>
              <w:bottom w:type="dxa" w:w="70"/>
              <w:right w:type="dxa" w:w="110"/>
            </w:tcMar>
            <w:vAlign w:val="center"/>
          </w:tcPr>
          <w:p>
            <w:pPr>
              <w:spacing w:after="0" w:line="252"/>
            </w:pPr>
            <w:r>
              <w:t xml:space="preserve">What’s the most frustrating part of keeping 800 acres watered right?</w:t>
            </w:r>
          </w:p>
        </w:tc>
        <w:tc>
          <w:tcPr>
            <w:tcW w:type="dxa" w:w="4680"/>
            <w:tcBorders>
              <w:top w:val="single" w:color="BFBFBF" w:sz="1"/>
              <w:left w:val="single" w:color="BFBFBF" w:sz="1"/>
              <w:bottom w:val="single" w:color="BFBFBF" w:sz="1"/>
              <w:right w:val="single" w:color="BFBFBF" w:sz="1"/>
            </w:tcBorders>
            <w:shd w:fill="F2F5F9" w:val="clear"/>
            <w:tcMar>
              <w:top w:type="dxa" w:w="70"/>
              <w:left w:type="dxa" w:w="110"/>
              <w:bottom w:type="dxa" w:w="70"/>
              <w:right w:type="dxa" w:w="110"/>
            </w:tcMar>
            <w:vAlign w:val="center"/>
          </w:tcPr>
          <w:p>
            <w:pPr>
              <w:spacing w:after="0" w:line="252"/>
            </w:pPr>
            <w:r>
              <w:t xml:space="preserve">Gets him venting the real pain in his own words — your discovery gold.</w:t>
            </w:r>
          </w:p>
        </w:tc>
      </w:tr>
    </w:tbl>
    <w:p>
      <w:pPr>
        <w:spacing w:after="50"/>
      </w:pPr>
      <w:r>
        <w:t xml:space="preserve"/>
      </w:r>
    </w:p>
    <w:p>
      <w:pPr>
        <w:pStyle w:val="Heading3"/>
      </w:pPr>
      <w:r>
        <w:t xml:space="preserve">Walkthrough / sales meeting — deeper (20–30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52"/>
            </w:pPr>
            <w:r>
              <w:rPr>
                <w:b/>
                <w:bCs/>
                <w:color w:val="FFFFFF"/>
                <w:sz w:val="20"/>
                <w:szCs w:val="20"/>
              </w:rPr>
              <w:t xml:space="preserve">Question</w:t>
            </w:r>
          </w:p>
        </w:tc>
        <w:tc>
          <w:tcPr>
            <w:tcW w:type="dxa" w:w="468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52"/>
            </w:pPr>
            <w:r>
              <w:rPr>
                <w:b/>
                <w:bCs/>
                <w:color w:val="FFFFFF"/>
                <w:sz w:val="20"/>
                <w:szCs w:val="20"/>
              </w:rPr>
              <w:t xml:space="preserve">What it reveals</w:t>
            </w:r>
          </w:p>
        </w:tc>
      </w:tr>
      <w:tr>
        <w:tc>
          <w:tcPr>
            <w:tcW w:type="dxa" w:w="468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t xml:space="preserve">When something goes wrong on a hot day — a stuck valve, a dry block — how fast do you find out, and how fast can you fix it?</w:t>
            </w:r>
          </w:p>
        </w:tc>
        <w:tc>
          <w:tcPr>
            <w:tcW w:type="dxa" w:w="468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t xml:space="preserve">Quantifies failure cost and response lag; the core remote-monitoring value.</w:t>
            </w:r>
          </w:p>
        </w:tc>
      </w:tr>
      <w:tr>
        <w:tc>
          <w:tcPr>
            <w:tcW w:type="dxa" w:w="4680"/>
            <w:tcBorders>
              <w:top w:val="single" w:color="BFBFBF" w:sz="1"/>
              <w:left w:val="single" w:color="BFBFBF" w:sz="1"/>
              <w:bottom w:val="single" w:color="BFBFBF" w:sz="1"/>
              <w:right w:val="single" w:color="BFBFBF" w:sz="1"/>
            </w:tcBorders>
            <w:shd w:fill="F2F5F9" w:val="clear"/>
            <w:tcMar>
              <w:top w:type="dxa" w:w="70"/>
              <w:left w:type="dxa" w:w="110"/>
              <w:bottom w:type="dxa" w:w="70"/>
              <w:right w:type="dxa" w:w="110"/>
            </w:tcMar>
            <w:vAlign w:val="center"/>
          </w:tcPr>
          <w:p>
            <w:pPr>
              <w:spacing w:after="0" w:line="252"/>
            </w:pPr>
            <w:r>
              <w:t xml:space="preserve">How much of your week is driving between ranches just to check or adjust water?</w:t>
            </w:r>
          </w:p>
        </w:tc>
        <w:tc>
          <w:tcPr>
            <w:tcW w:type="dxa" w:w="4680"/>
            <w:tcBorders>
              <w:top w:val="single" w:color="BFBFBF" w:sz="1"/>
              <w:left w:val="single" w:color="BFBFBF" w:sz="1"/>
              <w:bottom w:val="single" w:color="BFBFBF" w:sz="1"/>
              <w:right w:val="single" w:color="BFBFBF" w:sz="1"/>
            </w:tcBorders>
            <w:shd w:fill="F2F5F9" w:val="clear"/>
            <w:tcMar>
              <w:top w:type="dxa" w:w="70"/>
              <w:left w:type="dxa" w:w="110"/>
              <w:bottom w:type="dxa" w:w="70"/>
              <w:right w:type="dxa" w:w="110"/>
            </w:tcMar>
            <w:vAlign w:val="center"/>
          </w:tcPr>
          <w:p>
            <w:pPr>
              <w:spacing w:after="0" w:line="252"/>
            </w:pPr>
            <w:r>
              <w:t xml:space="preserve">Surfaces labor/windshield-time savings he’d personally feel.</w:t>
            </w:r>
          </w:p>
        </w:tc>
      </w:tr>
      <w:tr>
        <w:tc>
          <w:tcPr>
            <w:tcW w:type="dxa" w:w="468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t xml:space="preserve">Where do you lose the most water — overwatering, runoff, leaks, hand-watering?</w:t>
            </w:r>
          </w:p>
        </w:tc>
        <w:tc>
          <w:tcPr>
            <w:tcW w:type="dxa" w:w="468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t xml:space="preserve">Pinpoints the savings story and where a pilot block should go.</w:t>
            </w:r>
          </w:p>
        </w:tc>
      </w:tr>
      <w:tr>
        <w:tc>
          <w:tcPr>
            <w:tcW w:type="dxa" w:w="4680"/>
            <w:tcBorders>
              <w:top w:val="single" w:color="BFBFBF" w:sz="1"/>
              <w:left w:val="single" w:color="BFBFBF" w:sz="1"/>
              <w:bottom w:val="single" w:color="BFBFBF" w:sz="1"/>
              <w:right w:val="single" w:color="BFBFBF" w:sz="1"/>
            </w:tcBorders>
            <w:shd w:fill="F2F5F9" w:val="clear"/>
            <w:tcMar>
              <w:top w:type="dxa" w:w="70"/>
              <w:left w:type="dxa" w:w="110"/>
              <w:bottom w:type="dxa" w:w="70"/>
              <w:right w:type="dxa" w:w="110"/>
            </w:tcMar>
            <w:vAlign w:val="center"/>
          </w:tcPr>
          <w:p>
            <w:pPr>
              <w:spacing w:after="0" w:line="252"/>
            </w:pPr>
            <w:r>
              <w:t xml:space="preserve">If you could pull up every zone on your phone and tweak it from anywhere, what would your day look like?</w:t>
            </w:r>
          </w:p>
        </w:tc>
        <w:tc>
          <w:tcPr>
            <w:tcW w:type="dxa" w:w="4680"/>
            <w:tcBorders>
              <w:top w:val="single" w:color="BFBFBF" w:sz="1"/>
              <w:left w:val="single" w:color="BFBFBF" w:sz="1"/>
              <w:bottom w:val="single" w:color="BFBFBF" w:sz="1"/>
              <w:right w:val="single" w:color="BFBFBF" w:sz="1"/>
            </w:tcBorders>
            <w:shd w:fill="F2F5F9" w:val="clear"/>
            <w:tcMar>
              <w:top w:type="dxa" w:w="70"/>
              <w:left w:type="dxa" w:w="110"/>
              <w:bottom w:type="dxa" w:w="70"/>
              <w:right w:type="dxa" w:w="110"/>
            </w:tcMar>
            <w:vAlign w:val="center"/>
          </w:tcPr>
          <w:p>
            <w:pPr>
              <w:spacing w:after="0" w:line="252"/>
            </w:pPr>
            <w:r>
              <w:t xml:space="preserve">Lets him picture the win; builds personal desire for the tool.</w:t>
            </w:r>
          </w:p>
        </w:tc>
      </w:tr>
      <w:tr>
        <w:tc>
          <w:tcPr>
            <w:tcW w:type="dxa" w:w="468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t xml:space="preserve">Which block would you put it on first to prove it to yourself?</w:t>
            </w:r>
          </w:p>
        </w:tc>
        <w:tc>
          <w:tcPr>
            <w:tcW w:type="dxa" w:w="468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t xml:space="preserve">Co-selects the pilot site and gets micro-commitment.</w:t>
            </w:r>
          </w:p>
        </w:tc>
      </w:tr>
    </w:tbl>
    <w:p>
      <w:pPr>
        <w:spacing w:after="50"/>
      </w:pPr>
      <w:r>
        <w:t xml:space="preserve"/>
      </w:r>
    </w:p>
    <w:p>
      <w:pPr>
        <w:pStyle w:val="Heading3"/>
      </w:pPr>
      <w:r>
        <w:t xml:space="preserve">Email hooks (angles, not full emails)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3800"/>
      </w:tblGrid>
      <w:tr>
        <w:trPr>
          <w:tblHeader/>
        </w:trPr>
        <w:tc>
          <w:tcPr>
            <w:tcW w:type="dxa" w:w="556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52"/>
            </w:pPr>
            <w:r>
              <w:rPr>
                <w:b/>
                <w:bCs/>
                <w:color w:val="FFFFFF"/>
                <w:sz w:val="20"/>
                <w:szCs w:val="20"/>
              </w:rPr>
              <w:t xml:space="preserve">Hook</w:t>
            </w:r>
          </w:p>
        </w:tc>
        <w:tc>
          <w:tcPr>
            <w:tcW w:type="dxa" w:w="38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52"/>
            </w:pPr>
            <w:r>
              <w:rPr>
                <w:b/>
                <w:bCs/>
                <w:color w:val="FFFFFF"/>
                <w:sz w:val="20"/>
                <w:szCs w:val="20"/>
              </w:rPr>
              <w:t xml:space="preserve">Goal</w:t>
            </w:r>
          </w:p>
        </w:tc>
      </w:tr>
      <w:tr>
        <w:tc>
          <w:tcPr>
            <w:tcW w:type="dxa" w:w="55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t xml:space="preserve">(Email is weak for him — prefer phone.) If used: “We help water guys see and control every zone from their phone — worth a look on one block?”</w:t>
            </w:r>
          </w:p>
        </w:tc>
        <w:tc>
          <w:tcPr>
            <w:tcW w:type="dxa" w:w="38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t xml:space="preserve">Keep it concrete and operational; aim to move to a call.</w:t>
            </w:r>
          </w:p>
        </w:tc>
      </w:tr>
      <w:tr>
        <w:tc>
          <w:tcPr>
            <w:tcW w:type="dxa" w:w="5560"/>
            <w:tcBorders>
              <w:top w:val="single" w:color="BFBFBF" w:sz="1"/>
              <w:left w:val="single" w:color="BFBFBF" w:sz="1"/>
              <w:bottom w:val="single" w:color="BFBFBF" w:sz="1"/>
              <w:right w:val="single" w:color="BFBFBF" w:sz="1"/>
            </w:tcBorders>
            <w:shd w:fill="F2F5F9" w:val="clear"/>
            <w:tcMar>
              <w:top w:type="dxa" w:w="70"/>
              <w:left w:type="dxa" w:w="110"/>
              <w:bottom w:type="dxa" w:w="70"/>
              <w:right w:type="dxa" w:w="110"/>
            </w:tcMar>
            <w:vAlign w:val="center"/>
          </w:tcPr>
          <w:p>
            <w:pPr>
              <w:spacing w:after="0" w:line="252"/>
            </w:pPr>
            <w:r>
              <w:t xml:space="preserve">Offer to bring a unit to Pauma and set it up on a block he picks.</w:t>
            </w:r>
          </w:p>
        </w:tc>
        <w:tc>
          <w:tcPr>
            <w:tcW w:type="dxa" w:w="3800"/>
            <w:tcBorders>
              <w:top w:val="single" w:color="BFBFBF" w:sz="1"/>
              <w:left w:val="single" w:color="BFBFBF" w:sz="1"/>
              <w:bottom w:val="single" w:color="BFBFBF" w:sz="1"/>
              <w:right w:val="single" w:color="BFBFBF" w:sz="1"/>
            </w:tcBorders>
            <w:shd w:fill="F2F5F9" w:val="clear"/>
            <w:tcMar>
              <w:top w:type="dxa" w:w="70"/>
              <w:left w:type="dxa" w:w="110"/>
              <w:bottom w:type="dxa" w:w="70"/>
              <w:right w:type="dxa" w:w="110"/>
            </w:tcMar>
            <w:vAlign w:val="center"/>
          </w:tcPr>
          <w:p>
            <w:pPr>
              <w:spacing w:after="0" w:line="252"/>
            </w:pPr>
            <w:r>
              <w:t xml:space="preserve">Convert to an in-person demo — his strongest channel.</w:t>
            </w:r>
          </w:p>
        </w:tc>
      </w:tr>
    </w:tbl>
    <w:p>
      <w:pPr>
        <w:spacing w:after="50"/>
      </w:pPr>
      <w:r>
        <w:t xml:space="preserve"/>
      </w:r>
    </w:p>
    <w:p>
      <w:pPr>
        <w:pStyle w:val="Heading3"/>
      </w:pPr>
      <w:r>
        <w:t xml:space="preserve">Objections — acknowledge → redirect → never argue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52"/>
            </w:pPr>
            <w:r>
              <w:rPr>
                <w:b/>
                <w:bCs/>
                <w:color w:val="FFFFFF"/>
                <w:sz w:val="20"/>
                <w:szCs w:val="20"/>
              </w:rPr>
              <w:t xml:space="preserve">They say</w:t>
            </w:r>
          </w:p>
        </w:tc>
        <w:tc>
          <w:tcPr>
            <w:tcW w:type="dxa" w:w="596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52"/>
            </w:pPr>
            <w:r>
              <w:rPr>
                <w:b/>
                <w:bCs/>
                <w:color w:val="FFFFFF"/>
                <w:sz w:val="20"/>
                <w:szCs w:val="20"/>
              </w:rPr>
              <w:t xml:space="preserve">You say</w:t>
            </w:r>
          </w:p>
        </w:tc>
      </w:tr>
      <w:tr>
        <w:tc>
          <w:tcPr>
            <w:tcW w:type="dxa" w:w="34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b/>
                <w:bCs/>
              </w:rPr>
              <w:t xml:space="preserve">We do fine watering by hand and feel.</w:t>
            </w:r>
          </w:p>
        </w:tc>
        <w:tc>
          <w:tcPr>
            <w:tcW w:type="dxa" w:w="59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t xml:space="preserve">No doubt — you know these plants better than any sensor. This just gives you eyes on every zone so one hot-day miss doesn’t cost you a block while you’re across the ranch.</w:t>
            </w:r>
          </w:p>
        </w:tc>
      </w:tr>
      <w:tr>
        <w:tc>
          <w:tcPr>
            <w:tcW w:type="dxa" w:w="3400"/>
            <w:tcBorders>
              <w:top w:val="single" w:color="BFBFBF" w:sz="1"/>
              <w:left w:val="single" w:color="BFBFBF" w:sz="1"/>
              <w:bottom w:val="single" w:color="BFBFBF" w:sz="1"/>
              <w:right w:val="single" w:color="BFBFBF" w:sz="1"/>
            </w:tcBorders>
            <w:shd w:fill="F2F5F9" w:val="clear"/>
            <w:tcMar>
              <w:top w:type="dxa" w:w="70"/>
              <w:left w:type="dxa" w:w="110"/>
              <w:bottom w:type="dxa" w:w="70"/>
              <w:right w:type="dxa" w:w="110"/>
            </w:tcMar>
            <w:vAlign w:val="center"/>
          </w:tcPr>
          <w:p>
            <w:pPr>
              <w:spacing w:after="0" w:line="252"/>
            </w:pPr>
            <w:r>
              <w:rPr>
                <w:b/>
                <w:bCs/>
              </w:rPr>
              <w:t xml:space="preserve">Sounds complicated to learn.</w:t>
            </w:r>
          </w:p>
        </w:tc>
        <w:tc>
          <w:tcPr>
            <w:tcW w:type="dxa" w:w="5960"/>
            <w:tcBorders>
              <w:top w:val="single" w:color="BFBFBF" w:sz="1"/>
              <w:left w:val="single" w:color="BFBFBF" w:sz="1"/>
              <w:bottom w:val="single" w:color="BFBFBF" w:sz="1"/>
              <w:right w:val="single" w:color="BFBFBF" w:sz="1"/>
            </w:tcBorders>
            <w:shd w:fill="F2F5F9" w:val="clear"/>
            <w:tcMar>
              <w:top w:type="dxa" w:w="70"/>
              <w:left w:type="dxa" w:w="110"/>
              <w:bottom w:type="dxa" w:w="70"/>
              <w:right w:type="dxa" w:w="110"/>
            </w:tcMar>
            <w:vAlign w:val="center"/>
          </w:tcPr>
          <w:p>
            <w:pPr>
              <w:spacing w:after="0" w:line="252"/>
            </w:pPr>
            <w:r>
              <w:t xml:space="preserve">It installs in about 10 minutes and the screen’s simpler than your phone’s weather app — want me to set it on one block so you can poke at it?</w:t>
            </w:r>
          </w:p>
        </w:tc>
      </w:tr>
      <w:tr>
        <w:tc>
          <w:tcPr>
            <w:tcW w:type="dxa" w:w="34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b/>
                <w:bCs/>
              </w:rPr>
              <w:t xml:space="preserve">I’m too busy to mess with new gear.</w:t>
            </w:r>
          </w:p>
        </w:tc>
        <w:tc>
          <w:tcPr>
            <w:tcW w:type="dxa" w:w="59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t xml:space="preserve">That’s the point — it’s meant to save you the drives and the guessing. I’ll do the setup; you just tell me which block.</w:t>
            </w:r>
          </w:p>
        </w:tc>
      </w:tr>
      <w:tr>
        <w:tc>
          <w:tcPr>
            <w:tcW w:type="dxa" w:w="3400"/>
            <w:tcBorders>
              <w:top w:val="single" w:color="BFBFBF" w:sz="1"/>
              <w:left w:val="single" w:color="BFBFBF" w:sz="1"/>
              <w:bottom w:val="single" w:color="BFBFBF" w:sz="1"/>
              <w:right w:val="single" w:color="BFBFBF" w:sz="1"/>
            </w:tcBorders>
            <w:shd w:fill="F2F5F9" w:val="clear"/>
            <w:tcMar>
              <w:top w:type="dxa" w:w="70"/>
              <w:left w:type="dxa" w:w="110"/>
              <w:bottom w:type="dxa" w:w="70"/>
              <w:right w:type="dxa" w:w="110"/>
            </w:tcMar>
            <w:vAlign w:val="center"/>
          </w:tcPr>
          <w:p>
            <w:pPr>
              <w:spacing w:after="0" w:line="252"/>
            </w:pPr>
            <w:r>
              <w:rPr>
                <w:b/>
                <w:bCs/>
              </w:rPr>
              <w:t xml:space="preserve">What if it fails and I lose plants?</w:t>
            </w:r>
          </w:p>
        </w:tc>
        <w:tc>
          <w:tcPr>
            <w:tcW w:type="dxa" w:w="5960"/>
            <w:tcBorders>
              <w:top w:val="single" w:color="BFBFBF" w:sz="1"/>
              <w:left w:val="single" w:color="BFBFBF" w:sz="1"/>
              <w:bottom w:val="single" w:color="BFBFBF" w:sz="1"/>
              <w:right w:val="single" w:color="BFBFBF" w:sz="1"/>
            </w:tcBorders>
            <w:shd w:fill="F2F5F9" w:val="clear"/>
            <w:tcMar>
              <w:top w:type="dxa" w:w="70"/>
              <w:left w:type="dxa" w:w="110"/>
              <w:bottom w:type="dxa" w:w="70"/>
              <w:right w:type="dxa" w:w="110"/>
            </w:tcMar>
            <w:vAlign w:val="center"/>
          </w:tcPr>
          <w:p>
            <w:pPr>
              <w:spacing w:after="0" w:line="252"/>
            </w:pPr>
            <w:r>
              <w:t xml:space="preserve">You keep full manual control, and it alerts you the moment a zone’s off — it’s a safety net, not a replacement for you.</w:t>
            </w:r>
          </w:p>
        </w:tc>
      </w:tr>
      <w:tr>
        <w:tc>
          <w:tcPr>
            <w:tcW w:type="dxa" w:w="34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b/>
                <w:bCs/>
              </w:rPr>
              <w:t xml:space="preserve">The boss makes those calls, not me.</w:t>
            </w:r>
          </w:p>
        </w:tc>
        <w:tc>
          <w:tcPr>
            <w:tcW w:type="dxa" w:w="59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t xml:space="preserve">Totally — I’m not asking you to buy anything, just to tell me if this would make your life easier. If it would, your word carries weight upstairs.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B6F" w:sz="4"/>
              <w:left w:val="single" w:color="2E8B6F" w:sz="18"/>
              <w:bottom w:val="single" w:color="2E8B6F" w:sz="4"/>
              <w:right w:val="single" w:color="2E8B6F" w:sz="4"/>
            </w:tcBorders>
            <w:shd w:fill="1F3864" w:val="clear"/>
            <w:tcMar>
              <w:top w:type="dxa" w:w="110"/>
              <w:left w:type="dxa" w:w="160"/>
              <w:bottom w:type="dxa" w:w="110"/>
              <w:right w:type="dxa" w:w="140"/>
            </w:tcMar>
          </w:tcPr>
          <w:p>
            <w:pPr>
              <w:spacing w:after="20"/>
            </w:pPr>
            <w:r>
              <w:rPr>
                <w:b/>
                <w:bCs/>
                <w:color w:val="FFFFFF"/>
                <w:sz w:val="28"/>
                <w:szCs w:val="28"/>
              </w:rPr>
              <w:t xml:space="preserve">Terry Yasutake</w:t>
            </w:r>
            <w:r>
              <w:rPr>
                <w:color w:val="E8EEF6"/>
                <w:sz w:val="21"/>
                <w:szCs w:val="21"/>
              </w:rPr>
              <w:t xml:space="preserve">   CEO / General Manager (2nd-generation owner)</w:t>
            </w:r>
          </w:p>
        </w:tc>
      </w:tr>
    </w:tbl>
    <w:p>
      <w:pPr>
        <w:spacing w:after="40"/>
      </w:pPr>
      <w:r>
        <w:t xml:space="preserve"/>
      </w:r>
    </w:p>
    <w:p>
      <w:pPr>
        <w:spacing w:after="30" w:before="0" w:line="264"/>
      </w:pPr>
      <w:r>
        <w:rPr>
          <w:b/>
          <w:bCs/>
          <w:color w:val="1F6F54"/>
        </w:rPr>
        <w:t xml:space="preserve">Role: </w:t>
      </w:r>
      <w:r>
        <w:t xml:space="preserve">Final decision-maker on a purchase like this. Runs T-Y on ‘respect and commitment to word,’ is relationship-driven, and is effectively absent digitally. Acts on trusted, warm introductions.</w:t>
      </w:r>
    </w:p>
    <w:p>
      <w:pPr>
        <w:spacing w:after="80" w:before="0" w:line="264"/>
      </w:pPr>
      <w:r>
        <w:rPr>
          <w:b/>
          <w:bCs/>
          <w:color w:val="1F6F54"/>
        </w:rPr>
        <w:t xml:space="preserve">Your angle: </w:t>
      </w:r>
      <w:r>
        <w:t xml:space="preserve">Legacy, savings, and risk — with his own team already on board. Never cold, never ‘modernize the family business.’ Frame as protecting what they’ve built while getting ahead of water cost and state rules.</w:t>
      </w:r>
    </w:p>
    <w:p>
      <w:pPr>
        <w:pStyle w:val="Heading3"/>
      </w:pPr>
      <w:r>
        <w:t xml:space="preserve">Cold call — 1–2 questions (60 seconds to earn 5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52"/>
            </w:pPr>
            <w:r>
              <w:rPr>
                <w:b/>
                <w:bCs/>
                <w:color w:val="FFFFFF"/>
                <w:sz w:val="20"/>
                <w:szCs w:val="20"/>
              </w:rPr>
              <w:t xml:space="preserve">Question</w:t>
            </w:r>
          </w:p>
        </w:tc>
        <w:tc>
          <w:tcPr>
            <w:tcW w:type="dxa" w:w="468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52"/>
            </w:pPr>
            <w:r>
              <w:rPr>
                <w:b/>
                <w:bCs/>
                <w:color w:val="FFFFFF"/>
                <w:sz w:val="20"/>
                <w:szCs w:val="20"/>
              </w:rPr>
              <w:t xml:space="preserve">What it reveals</w:t>
            </w:r>
          </w:p>
        </w:tc>
      </w:tr>
      <w:tr>
        <w:tc>
          <w:tcPr>
            <w:tcW w:type="dxa" w:w="468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t xml:space="preserve">What would water savings across all four ranches need to look like to be worth your attention?</w:t>
            </w:r>
          </w:p>
        </w:tc>
        <w:tc>
          <w:tcPr>
            <w:tcW w:type="dxa" w:w="468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t xml:space="preserve">Sets the ROI bar in his terms and signals you respect his time.</w:t>
            </w:r>
          </w:p>
        </w:tc>
      </w:tr>
      <w:tr>
        <w:tc>
          <w:tcPr>
            <w:tcW w:type="dxa" w:w="4680"/>
            <w:tcBorders>
              <w:top w:val="single" w:color="BFBFBF" w:sz="1"/>
              <w:left w:val="single" w:color="BFBFBF" w:sz="1"/>
              <w:bottom w:val="single" w:color="BFBFBF" w:sz="1"/>
              <w:right w:val="single" w:color="BFBFBF" w:sz="1"/>
            </w:tcBorders>
            <w:shd w:fill="F2F5F9" w:val="clear"/>
            <w:tcMar>
              <w:top w:type="dxa" w:w="70"/>
              <w:left w:type="dxa" w:w="110"/>
              <w:bottom w:type="dxa" w:w="70"/>
              <w:right w:type="dxa" w:w="110"/>
            </w:tcMar>
            <w:vAlign w:val="center"/>
          </w:tcPr>
          <w:p>
            <w:pPr>
              <w:spacing w:after="0" w:line="252"/>
            </w:pPr>
            <w:r>
              <w:t xml:space="preserve">How are you thinking about the state’s new water-monitoring requirements heading into next season?</w:t>
            </w:r>
          </w:p>
        </w:tc>
        <w:tc>
          <w:tcPr>
            <w:tcW w:type="dxa" w:w="4680"/>
            <w:tcBorders>
              <w:top w:val="single" w:color="BFBFBF" w:sz="1"/>
              <w:left w:val="single" w:color="BFBFBF" w:sz="1"/>
              <w:bottom w:val="single" w:color="BFBFBF" w:sz="1"/>
              <w:right w:val="single" w:color="BFBFBF" w:sz="1"/>
            </w:tcBorders>
            <w:shd w:fill="F2F5F9" w:val="clear"/>
            <w:tcMar>
              <w:top w:type="dxa" w:w="70"/>
              <w:left w:type="dxa" w:w="110"/>
              <w:bottom w:type="dxa" w:w="70"/>
              <w:right w:type="dxa" w:w="110"/>
            </w:tcMar>
            <w:vAlign w:val="center"/>
          </w:tcPr>
          <w:p>
            <w:pPr>
              <w:spacing w:after="0" w:line="252"/>
            </w:pPr>
            <w:r>
              <w:t xml:space="preserve">Tests whether compliance is a felt priority and opens a ‘get ahead of it’ frame.</w:t>
            </w:r>
          </w:p>
        </w:tc>
      </w:tr>
    </w:tbl>
    <w:p>
      <w:pPr>
        <w:spacing w:after="50"/>
      </w:pPr>
      <w:r>
        <w:t xml:space="preserve"/>
      </w:r>
    </w:p>
    <w:p>
      <w:pPr>
        <w:pStyle w:val="Heading3"/>
      </w:pPr>
      <w:r>
        <w:t xml:space="preserve">Walkthrough / sales meeting — deeper (20–30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52"/>
            </w:pPr>
            <w:r>
              <w:rPr>
                <w:b/>
                <w:bCs/>
                <w:color w:val="FFFFFF"/>
                <w:sz w:val="20"/>
                <w:szCs w:val="20"/>
              </w:rPr>
              <w:t xml:space="preserve">Question</w:t>
            </w:r>
          </w:p>
        </w:tc>
        <w:tc>
          <w:tcPr>
            <w:tcW w:type="dxa" w:w="468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52"/>
            </w:pPr>
            <w:r>
              <w:rPr>
                <w:b/>
                <w:bCs/>
                <w:color w:val="FFFFFF"/>
                <w:sz w:val="20"/>
                <w:szCs w:val="20"/>
              </w:rPr>
              <w:t xml:space="preserve">What it reveals</w:t>
            </w:r>
          </w:p>
        </w:tc>
      </w:tr>
      <w:tr>
        <w:tc>
          <w:tcPr>
            <w:tcW w:type="dxa" w:w="468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t xml:space="preserve">You’ve grown T-Y from 1.5 to 800 acres on relationships and word — where does water fit in how you think about the next few years?</w:t>
            </w:r>
          </w:p>
        </w:tc>
        <w:tc>
          <w:tcPr>
            <w:tcW w:type="dxa" w:w="468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t xml:space="preserve">Honors the legacy and gets him talking strategy, not features.</w:t>
            </w:r>
          </w:p>
        </w:tc>
      </w:tr>
      <w:tr>
        <w:tc>
          <w:tcPr>
            <w:tcW w:type="dxa" w:w="4680"/>
            <w:tcBorders>
              <w:top w:val="single" w:color="BFBFBF" w:sz="1"/>
              <w:left w:val="single" w:color="BFBFBF" w:sz="1"/>
              <w:bottom w:val="single" w:color="BFBFBF" w:sz="1"/>
              <w:right w:val="single" w:color="BFBFBF" w:sz="1"/>
            </w:tcBorders>
            <w:shd w:fill="F2F5F9" w:val="clear"/>
            <w:tcMar>
              <w:top w:type="dxa" w:w="70"/>
              <w:left w:type="dxa" w:w="110"/>
              <w:bottom w:type="dxa" w:w="70"/>
              <w:right w:type="dxa" w:w="110"/>
            </w:tcMar>
            <w:vAlign w:val="center"/>
          </w:tcPr>
          <w:p>
            <w:pPr>
              <w:spacing w:after="0" w:line="252"/>
            </w:pPr>
            <w:r>
              <w:t xml:space="preserve">If your own team — Tomoharu, Oggie — proved 20–30% savings on one block, how do you like to make a call like this?</w:t>
            </w:r>
          </w:p>
        </w:tc>
        <w:tc>
          <w:tcPr>
            <w:tcW w:type="dxa" w:w="4680"/>
            <w:tcBorders>
              <w:top w:val="single" w:color="BFBFBF" w:sz="1"/>
              <w:left w:val="single" w:color="BFBFBF" w:sz="1"/>
              <w:bottom w:val="single" w:color="BFBFBF" w:sz="1"/>
              <w:right w:val="single" w:color="BFBFBF" w:sz="1"/>
            </w:tcBorders>
            <w:shd w:fill="F2F5F9" w:val="clear"/>
            <w:tcMar>
              <w:top w:type="dxa" w:w="70"/>
              <w:left w:type="dxa" w:w="110"/>
              <w:bottom w:type="dxa" w:w="70"/>
              <w:right w:type="dxa" w:w="110"/>
            </w:tcMar>
            <w:vAlign w:val="center"/>
          </w:tcPr>
          <w:p>
            <w:pPr>
              <w:spacing w:after="0" w:line="252"/>
            </w:pPr>
            <w:r>
              <w:t xml:space="preserve">Surfaces his decision process and leverages internal champions.</w:t>
            </w:r>
          </w:p>
        </w:tc>
      </w:tr>
      <w:tr>
        <w:tc>
          <w:tcPr>
            <w:tcW w:type="dxa" w:w="468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t xml:space="preserve">What’s your biggest concern about putting technology on production blocks?</w:t>
            </w:r>
          </w:p>
        </w:tc>
        <w:tc>
          <w:tcPr>
            <w:tcW w:type="dxa" w:w="468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t xml:space="preserve">Lets him voice the real objection (risk, crew, disruption) so you can address it.</w:t>
            </w:r>
          </w:p>
        </w:tc>
      </w:tr>
      <w:tr>
        <w:tc>
          <w:tcPr>
            <w:tcW w:type="dxa" w:w="4680"/>
            <w:tcBorders>
              <w:top w:val="single" w:color="BFBFBF" w:sz="1"/>
              <w:left w:val="single" w:color="BFBFBF" w:sz="1"/>
              <w:bottom w:val="single" w:color="BFBFBF" w:sz="1"/>
              <w:right w:val="single" w:color="BFBFBF" w:sz="1"/>
            </w:tcBorders>
            <w:shd w:fill="F2F5F9" w:val="clear"/>
            <w:tcMar>
              <w:top w:type="dxa" w:w="70"/>
              <w:left w:type="dxa" w:w="110"/>
              <w:bottom w:type="dxa" w:w="70"/>
              <w:right w:type="dxa" w:w="110"/>
            </w:tcMar>
            <w:vAlign w:val="center"/>
          </w:tcPr>
          <w:p>
            <w:pPr>
              <w:spacing w:after="0" w:line="252"/>
            </w:pPr>
            <w:r>
              <w:t xml:space="preserve">Water cost and the new rules are both heading one direction — how are you planning around that?</w:t>
            </w:r>
          </w:p>
        </w:tc>
        <w:tc>
          <w:tcPr>
            <w:tcW w:type="dxa" w:w="4680"/>
            <w:tcBorders>
              <w:top w:val="single" w:color="BFBFBF" w:sz="1"/>
              <w:left w:val="single" w:color="BFBFBF" w:sz="1"/>
              <w:bottom w:val="single" w:color="BFBFBF" w:sz="1"/>
              <w:right w:val="single" w:color="BFBFBF" w:sz="1"/>
            </w:tcBorders>
            <w:shd w:fill="F2F5F9" w:val="clear"/>
            <w:tcMar>
              <w:top w:type="dxa" w:w="70"/>
              <w:left w:type="dxa" w:w="110"/>
              <w:bottom w:type="dxa" w:w="70"/>
              <w:right w:type="dxa" w:w="110"/>
            </w:tcMar>
            <w:vAlign w:val="center"/>
          </w:tcPr>
          <w:p>
            <w:pPr>
              <w:spacing w:after="0" w:line="252"/>
            </w:pPr>
            <w:r>
              <w:t xml:space="preserve">Frames urgency without pressure; positions HydroRoot as forward planning.</w:t>
            </w:r>
          </w:p>
        </w:tc>
      </w:tr>
      <w:tr>
        <w:tc>
          <w:tcPr>
            <w:tcW w:type="dxa" w:w="468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t xml:space="preserve">If a pilot worked, would you want to scale ranch-by-ranch or all at once?</w:t>
            </w:r>
          </w:p>
        </w:tc>
        <w:tc>
          <w:tcPr>
            <w:tcW w:type="dxa" w:w="468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t xml:space="preserve">Tests commitment and gets him picturing rollout — a soft close.</w:t>
            </w:r>
          </w:p>
        </w:tc>
      </w:tr>
    </w:tbl>
    <w:p>
      <w:pPr>
        <w:spacing w:after="50"/>
      </w:pPr>
      <w:r>
        <w:t xml:space="preserve"/>
      </w:r>
    </w:p>
    <w:p>
      <w:pPr>
        <w:pStyle w:val="Heading3"/>
      </w:pPr>
      <w:r>
        <w:t xml:space="preserve">Email hooks (angles, not full emails)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3800"/>
      </w:tblGrid>
      <w:tr>
        <w:trPr>
          <w:tblHeader/>
        </w:trPr>
        <w:tc>
          <w:tcPr>
            <w:tcW w:type="dxa" w:w="556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52"/>
            </w:pPr>
            <w:r>
              <w:rPr>
                <w:b/>
                <w:bCs/>
                <w:color w:val="FFFFFF"/>
                <w:sz w:val="20"/>
                <w:szCs w:val="20"/>
              </w:rPr>
              <w:t xml:space="preserve">Hook</w:t>
            </w:r>
          </w:p>
        </w:tc>
        <w:tc>
          <w:tcPr>
            <w:tcW w:type="dxa" w:w="38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52"/>
            </w:pPr>
            <w:r>
              <w:rPr>
                <w:b/>
                <w:bCs/>
                <w:color w:val="FFFFFF"/>
                <w:sz w:val="20"/>
                <w:szCs w:val="20"/>
              </w:rPr>
              <w:t xml:space="preserve">Goal</w:t>
            </w:r>
          </w:p>
        </w:tc>
      </w:tr>
      <w:tr>
        <w:tc>
          <w:tcPr>
            <w:tcW w:type="dxa" w:w="55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t xml:space="preserve">Warm intro from Iwo: “Your team’s looking at locking in water savings and getting ahead of the state rules — wanted you in the loop.”</w:t>
            </w:r>
          </w:p>
        </w:tc>
        <w:tc>
          <w:tcPr>
            <w:tcW w:type="dxa" w:w="38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t xml:space="preserve">Reach him through trust, not a cold pitch.</w:t>
            </w:r>
          </w:p>
        </w:tc>
      </w:tr>
      <w:tr>
        <w:tc>
          <w:tcPr>
            <w:tcW w:type="dxa" w:w="5560"/>
            <w:tcBorders>
              <w:top w:val="single" w:color="BFBFBF" w:sz="1"/>
              <w:left w:val="single" w:color="BFBFBF" w:sz="1"/>
              <w:bottom w:val="single" w:color="BFBFBF" w:sz="1"/>
              <w:right w:val="single" w:color="BFBFBF" w:sz="1"/>
            </w:tcBorders>
            <w:shd w:fill="F2F5F9" w:val="clear"/>
            <w:tcMar>
              <w:top w:type="dxa" w:w="70"/>
              <w:left w:type="dxa" w:w="110"/>
              <w:bottom w:type="dxa" w:w="70"/>
              <w:right w:type="dxa" w:w="110"/>
            </w:tcMar>
            <w:vAlign w:val="center"/>
          </w:tcPr>
          <w:p>
            <w:pPr>
              <w:spacing w:after="0" w:line="252"/>
            </w:pPr>
            <w:r>
              <w:t xml:space="preserve">Legacy + savings one-liner referencing 1966 and the four ranches.</w:t>
            </w:r>
          </w:p>
        </w:tc>
        <w:tc>
          <w:tcPr>
            <w:tcW w:type="dxa" w:w="3800"/>
            <w:tcBorders>
              <w:top w:val="single" w:color="BFBFBF" w:sz="1"/>
              <w:left w:val="single" w:color="BFBFBF" w:sz="1"/>
              <w:bottom w:val="single" w:color="BFBFBF" w:sz="1"/>
              <w:right w:val="single" w:color="BFBFBF" w:sz="1"/>
            </w:tcBorders>
            <w:shd w:fill="F2F5F9" w:val="clear"/>
            <w:tcMar>
              <w:top w:type="dxa" w:w="70"/>
              <w:left w:type="dxa" w:w="110"/>
              <w:bottom w:type="dxa" w:w="70"/>
              <w:right w:type="dxa" w:w="110"/>
            </w:tcMar>
            <w:vAlign w:val="center"/>
          </w:tcPr>
          <w:p>
            <w:pPr>
              <w:spacing w:after="0" w:line="252"/>
            </w:pPr>
            <w:r>
              <w:t xml:space="preserve">Earn a reply by speaking to what he’s built.</w:t>
            </w:r>
          </w:p>
        </w:tc>
      </w:tr>
      <w:tr>
        <w:tc>
          <w:tcPr>
            <w:tcW w:type="dxa" w:w="55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t xml:space="preserve">Offer a low-pressure walkthrough where his team shows him on one block.</w:t>
            </w:r>
          </w:p>
        </w:tc>
        <w:tc>
          <w:tcPr>
            <w:tcW w:type="dxa" w:w="38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t xml:space="preserve">Move to a walkthrough judged on results, not a brochure.</w:t>
            </w:r>
          </w:p>
        </w:tc>
      </w:tr>
    </w:tbl>
    <w:p>
      <w:pPr>
        <w:spacing w:after="50"/>
      </w:pPr>
      <w:r>
        <w:t xml:space="preserve"/>
      </w:r>
    </w:p>
    <w:p>
      <w:pPr>
        <w:pStyle w:val="Heading3"/>
      </w:pPr>
      <w:r>
        <w:t xml:space="preserve">Objections — acknowledge → redirect → never argue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52"/>
            </w:pPr>
            <w:r>
              <w:rPr>
                <w:b/>
                <w:bCs/>
                <w:color w:val="FFFFFF"/>
                <w:sz w:val="20"/>
                <w:szCs w:val="20"/>
              </w:rPr>
              <w:t xml:space="preserve">They say</w:t>
            </w:r>
          </w:p>
        </w:tc>
        <w:tc>
          <w:tcPr>
            <w:tcW w:type="dxa" w:w="596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52"/>
            </w:pPr>
            <w:r>
              <w:rPr>
                <w:b/>
                <w:bCs/>
                <w:color w:val="FFFFFF"/>
                <w:sz w:val="20"/>
                <w:szCs w:val="20"/>
              </w:rPr>
              <w:t xml:space="preserve">You say</w:t>
            </w:r>
          </w:p>
        </w:tc>
      </w:tr>
      <w:tr>
        <w:tc>
          <w:tcPr>
            <w:tcW w:type="dxa" w:w="34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b/>
                <w:bCs/>
              </w:rPr>
              <w:t xml:space="preserve">We’ve been fine for almost 60 years.</w:t>
            </w:r>
          </w:p>
        </w:tc>
        <w:tc>
          <w:tcPr>
            <w:tcW w:type="dxa" w:w="59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t xml:space="preserve">Absolutely — and this isn’t about fixing what works. It’s about water cost and the new state rules, both of which are only going one way. We help you stay ahead without changing how you run T-Y.</w:t>
            </w:r>
          </w:p>
        </w:tc>
      </w:tr>
      <w:tr>
        <w:tc>
          <w:tcPr>
            <w:tcW w:type="dxa" w:w="3400"/>
            <w:tcBorders>
              <w:top w:val="single" w:color="BFBFBF" w:sz="1"/>
              <w:left w:val="single" w:color="BFBFBF" w:sz="1"/>
              <w:bottom w:val="single" w:color="BFBFBF" w:sz="1"/>
              <w:right w:val="single" w:color="BFBFBF" w:sz="1"/>
            </w:tcBorders>
            <w:shd w:fill="F2F5F9" w:val="clear"/>
            <w:tcMar>
              <w:top w:type="dxa" w:w="70"/>
              <w:left w:type="dxa" w:w="110"/>
              <w:bottom w:type="dxa" w:w="70"/>
              <w:right w:type="dxa" w:w="110"/>
            </w:tcMar>
            <w:vAlign w:val="center"/>
          </w:tcPr>
          <w:p>
            <w:pPr>
              <w:spacing w:after="0" w:line="252"/>
            </w:pPr>
            <w:r>
              <w:rPr>
                <w:b/>
                <w:bCs/>
              </w:rPr>
              <w:t xml:space="preserve">Just send me some information.</w:t>
            </w:r>
          </w:p>
        </w:tc>
        <w:tc>
          <w:tcPr>
            <w:tcW w:type="dxa" w:w="5960"/>
            <w:tcBorders>
              <w:top w:val="single" w:color="BFBFBF" w:sz="1"/>
              <w:left w:val="single" w:color="BFBFBF" w:sz="1"/>
              <w:bottom w:val="single" w:color="BFBFBF" w:sz="1"/>
              <w:right w:val="single" w:color="BFBFBF" w:sz="1"/>
            </w:tcBorders>
            <w:shd w:fill="F2F5F9" w:val="clear"/>
            <w:tcMar>
              <w:top w:type="dxa" w:w="70"/>
              <w:left w:type="dxa" w:w="110"/>
              <w:bottom w:type="dxa" w:w="70"/>
              <w:right w:type="dxa" w:w="110"/>
            </w:tcMar>
            <w:vAlign w:val="center"/>
          </w:tcPr>
          <w:p>
            <w:pPr>
              <w:spacing w:after="0" w:line="252"/>
            </w:pPr>
            <w:r>
              <w:t xml:space="preserve">Happy to — but you’ll get more from seeing it on one of your own blocks with Tomoharu than from a brochure. Fifteen minutes, no pressure.</w:t>
            </w:r>
          </w:p>
        </w:tc>
      </w:tr>
      <w:tr>
        <w:tc>
          <w:tcPr>
            <w:tcW w:type="dxa" w:w="34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b/>
                <w:bCs/>
              </w:rPr>
              <w:t xml:space="preserve">We don’t have budget for this right now.</w:t>
            </w:r>
          </w:p>
        </w:tc>
        <w:tc>
          <w:tcPr>
            <w:tcW w:type="dxa" w:w="59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t xml:space="preserve">Understood — a one-block pilot is low-cost, the water savings help pay for it, and there may be state efficiency funding (SWEEP) to offset more. Let’s prove the number first.</w:t>
            </w:r>
          </w:p>
        </w:tc>
      </w:tr>
      <w:tr>
        <w:tc>
          <w:tcPr>
            <w:tcW w:type="dxa" w:w="3400"/>
            <w:tcBorders>
              <w:top w:val="single" w:color="BFBFBF" w:sz="1"/>
              <w:left w:val="single" w:color="BFBFBF" w:sz="1"/>
              <w:bottom w:val="single" w:color="BFBFBF" w:sz="1"/>
              <w:right w:val="single" w:color="BFBFBF" w:sz="1"/>
            </w:tcBorders>
            <w:shd w:fill="F2F5F9" w:val="clear"/>
            <w:tcMar>
              <w:top w:type="dxa" w:w="70"/>
              <w:left w:type="dxa" w:w="110"/>
              <w:bottom w:type="dxa" w:w="70"/>
              <w:right w:type="dxa" w:w="110"/>
            </w:tcMar>
            <w:vAlign w:val="center"/>
          </w:tcPr>
          <w:p>
            <w:pPr>
              <w:spacing w:after="0" w:line="252"/>
            </w:pPr>
            <w:r>
              <w:rPr>
                <w:b/>
                <w:bCs/>
              </w:rPr>
              <w:t xml:space="preserve">I trust my people to handle water.</w:t>
            </w:r>
          </w:p>
        </w:tc>
        <w:tc>
          <w:tcPr>
            <w:tcW w:type="dxa" w:w="5960"/>
            <w:tcBorders>
              <w:top w:val="single" w:color="BFBFBF" w:sz="1"/>
              <w:left w:val="single" w:color="BFBFBF" w:sz="1"/>
              <w:bottom w:val="single" w:color="BFBFBF" w:sz="1"/>
              <w:right w:val="single" w:color="BFBFBF" w:sz="1"/>
            </w:tcBorders>
            <w:shd w:fill="F2F5F9" w:val="clear"/>
            <w:tcMar>
              <w:top w:type="dxa" w:w="70"/>
              <w:left w:type="dxa" w:w="110"/>
              <w:bottom w:type="dxa" w:w="70"/>
              <w:right w:type="dxa" w:w="110"/>
            </w:tcMar>
            <w:vAlign w:val="center"/>
          </w:tcPr>
          <w:p>
            <w:pPr>
              <w:spacing w:after="0" w:line="252"/>
            </w:pPr>
            <w:r>
              <w:t xml:space="preserve">Exactly why this works — your people stay in control; it just gives them better eyes and the data the state now wants. Tomoharu’s already interested.</w:t>
            </w:r>
          </w:p>
        </w:tc>
      </w:tr>
      <w:tr>
        <w:tc>
          <w:tcPr>
            <w:tcW w:type="dxa" w:w="34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b/>
                <w:bCs/>
              </w:rPr>
              <w:t xml:space="preserve">I don’t want to be locked into some tech vendor.</w:t>
            </w:r>
          </w:p>
        </w:tc>
        <w:tc>
          <w:tcPr>
            <w:tcW w:type="dxa" w:w="59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t xml:space="preserve">Fair — start with one block, no big commitment. We’re local in Anaheim, so we’re a relationship you can look in the eye, not a faceless platform.</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B6F" w:sz="4"/>
              <w:left w:val="single" w:color="2E8B6F" w:sz="18"/>
              <w:bottom w:val="single" w:color="2E8B6F" w:sz="4"/>
              <w:right w:val="single" w:color="2E8B6F" w:sz="4"/>
            </w:tcBorders>
            <w:shd w:fill="1F3864" w:val="clear"/>
            <w:tcMar>
              <w:top w:type="dxa" w:w="110"/>
              <w:left w:type="dxa" w:w="160"/>
              <w:bottom w:type="dxa" w:w="110"/>
              <w:right w:type="dxa" w:w="140"/>
            </w:tcMar>
          </w:tcPr>
          <w:p>
            <w:pPr>
              <w:spacing w:after="20"/>
            </w:pPr>
            <w:r>
              <w:rPr>
                <w:b/>
                <w:bCs/>
                <w:color w:val="FFFFFF"/>
                <w:sz w:val="28"/>
                <w:szCs w:val="28"/>
              </w:rPr>
              <w:t xml:space="preserve">Judith Capulong</w:t>
            </w:r>
            <w:r>
              <w:rPr>
                <w:color w:val="E8EEF6"/>
                <w:sz w:val="21"/>
                <w:szCs w:val="21"/>
              </w:rPr>
              <w:t xml:space="preserve">   Purchasing Manager</w:t>
            </w:r>
          </w:p>
        </w:tc>
      </w:tr>
    </w:tbl>
    <w:p>
      <w:pPr>
        <w:spacing w:after="40"/>
      </w:pPr>
      <w:r>
        <w:t xml:space="preserve"/>
      </w:r>
    </w:p>
    <w:p>
      <w:pPr>
        <w:spacing w:after="30" w:before="0" w:line="264"/>
      </w:pPr>
      <w:r>
        <w:rPr>
          <w:b/>
          <w:bCs/>
          <w:color w:val="1F6F54"/>
        </w:rPr>
        <w:t xml:space="preserve">Role: </w:t>
      </w:r>
      <w:r>
        <w:t xml:space="preserve">Owns vendor onboarding and purchase orders. She doesn’t decide whether to buy — she controls how smoothly Link4 becomes an approved vendor once the team says yes.</w:t>
      </w:r>
    </w:p>
    <w:p>
      <w:pPr>
        <w:spacing w:after="80" w:before="0" w:line="264"/>
      </w:pPr>
      <w:r>
        <w:rPr>
          <w:b/>
          <w:bCs/>
          <w:color w:val="1F6F54"/>
        </w:rPr>
        <w:t xml:space="preserve">Your angle: </w:t>
      </w:r>
      <w:r>
        <w:t xml:space="preserve">Make her job easy. Engage only after Iwo/Terry are on board. Your goal is a frictionless onboarding, not a pitch.</w:t>
      </w:r>
    </w:p>
    <w:p>
      <w:pPr>
        <w:pStyle w:val="Heading3"/>
      </w:pPr>
      <w:r>
        <w:t xml:space="preserve">Cold call — 1–2 questions (60 seconds to earn 5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52"/>
            </w:pPr>
            <w:r>
              <w:rPr>
                <w:b/>
                <w:bCs/>
                <w:color w:val="FFFFFF"/>
                <w:sz w:val="20"/>
                <w:szCs w:val="20"/>
              </w:rPr>
              <w:t xml:space="preserve">Question</w:t>
            </w:r>
          </w:p>
        </w:tc>
        <w:tc>
          <w:tcPr>
            <w:tcW w:type="dxa" w:w="468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52"/>
            </w:pPr>
            <w:r>
              <w:rPr>
                <w:b/>
                <w:bCs/>
                <w:color w:val="FFFFFF"/>
                <w:sz w:val="20"/>
                <w:szCs w:val="20"/>
              </w:rPr>
              <w:t xml:space="preserve">What it reveals</w:t>
            </w:r>
          </w:p>
        </w:tc>
      </w:tr>
      <w:tr>
        <w:tc>
          <w:tcPr>
            <w:tcW w:type="dxa" w:w="468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t xml:space="preserve">What’s your process for bringing on a new equipment vendor — forms, insurance, terms?</w:t>
            </w:r>
          </w:p>
        </w:tc>
        <w:tc>
          <w:tcPr>
            <w:tcW w:type="dxa" w:w="468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t xml:space="preserve">Reveals the onboarding steps so you can pre-empt every requirement.</w:t>
            </w:r>
          </w:p>
        </w:tc>
      </w:tr>
      <w:tr>
        <w:tc>
          <w:tcPr>
            <w:tcW w:type="dxa" w:w="4680"/>
            <w:tcBorders>
              <w:top w:val="single" w:color="BFBFBF" w:sz="1"/>
              <w:left w:val="single" w:color="BFBFBF" w:sz="1"/>
              <w:bottom w:val="single" w:color="BFBFBF" w:sz="1"/>
              <w:right w:val="single" w:color="BFBFBF" w:sz="1"/>
            </w:tcBorders>
            <w:shd w:fill="F2F5F9" w:val="clear"/>
            <w:tcMar>
              <w:top w:type="dxa" w:w="70"/>
              <w:left w:type="dxa" w:w="110"/>
              <w:bottom w:type="dxa" w:w="70"/>
              <w:right w:type="dxa" w:w="110"/>
            </w:tcMar>
            <w:vAlign w:val="center"/>
          </w:tcPr>
          <w:p>
            <w:pPr>
              <w:spacing w:after="0" w:line="252"/>
            </w:pPr>
            <w:r>
              <w:t xml:space="preserve">Who signs off on a purchase at this size once the team has decided?</w:t>
            </w:r>
          </w:p>
        </w:tc>
        <w:tc>
          <w:tcPr>
            <w:tcW w:type="dxa" w:w="4680"/>
            <w:tcBorders>
              <w:top w:val="single" w:color="BFBFBF" w:sz="1"/>
              <w:left w:val="single" w:color="BFBFBF" w:sz="1"/>
              <w:bottom w:val="single" w:color="BFBFBF" w:sz="1"/>
              <w:right w:val="single" w:color="BFBFBF" w:sz="1"/>
            </w:tcBorders>
            <w:shd w:fill="F2F5F9" w:val="clear"/>
            <w:tcMar>
              <w:top w:type="dxa" w:w="70"/>
              <w:left w:type="dxa" w:w="110"/>
              <w:bottom w:type="dxa" w:w="70"/>
              <w:right w:type="dxa" w:w="110"/>
            </w:tcMar>
            <w:vAlign w:val="center"/>
          </w:tcPr>
          <w:p>
            <w:pPr>
              <w:spacing w:after="0" w:line="252"/>
            </w:pPr>
            <w:r>
              <w:t xml:space="preserve">Confirms the approval chain and any step you’ve missed.</w:t>
            </w:r>
          </w:p>
        </w:tc>
      </w:tr>
    </w:tbl>
    <w:p>
      <w:pPr>
        <w:spacing w:after="50"/>
      </w:pPr>
      <w:r>
        <w:t xml:space="preserve"/>
      </w:r>
    </w:p>
    <w:p>
      <w:pPr>
        <w:pStyle w:val="Heading3"/>
      </w:pPr>
      <w:r>
        <w:t xml:space="preserve">Walkthrough / sales meeting — deeper (20–30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52"/>
            </w:pPr>
            <w:r>
              <w:rPr>
                <w:b/>
                <w:bCs/>
                <w:color w:val="FFFFFF"/>
                <w:sz w:val="20"/>
                <w:szCs w:val="20"/>
              </w:rPr>
              <w:t xml:space="preserve">Question</w:t>
            </w:r>
          </w:p>
        </w:tc>
        <w:tc>
          <w:tcPr>
            <w:tcW w:type="dxa" w:w="468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52"/>
            </w:pPr>
            <w:r>
              <w:rPr>
                <w:b/>
                <w:bCs/>
                <w:color w:val="FFFFFF"/>
                <w:sz w:val="20"/>
                <w:szCs w:val="20"/>
              </w:rPr>
              <w:t xml:space="preserve">What it reveals</w:t>
            </w:r>
          </w:p>
        </w:tc>
      </w:tr>
      <w:tr>
        <w:tc>
          <w:tcPr>
            <w:tcW w:type="dxa" w:w="468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t xml:space="preserve">Would you prefer we run a pilot as a trial/eval or a standard PO?</w:t>
            </w:r>
          </w:p>
        </w:tc>
        <w:tc>
          <w:tcPr>
            <w:tcW w:type="dxa" w:w="468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t xml:space="preserve">Clarifies the cleanest commercial path for a low-risk start.</w:t>
            </w:r>
          </w:p>
        </w:tc>
      </w:tr>
      <w:tr>
        <w:tc>
          <w:tcPr>
            <w:tcW w:type="dxa" w:w="4680"/>
            <w:tcBorders>
              <w:top w:val="single" w:color="BFBFBF" w:sz="1"/>
              <w:left w:val="single" w:color="BFBFBF" w:sz="1"/>
              <w:bottom w:val="single" w:color="BFBFBF" w:sz="1"/>
              <w:right w:val="single" w:color="BFBFBF" w:sz="1"/>
            </w:tcBorders>
            <w:shd w:fill="F2F5F9" w:val="clear"/>
            <w:tcMar>
              <w:top w:type="dxa" w:w="70"/>
              <w:left w:type="dxa" w:w="110"/>
              <w:bottom w:type="dxa" w:w="70"/>
              <w:right w:type="dxa" w:w="110"/>
            </w:tcMar>
            <w:vAlign w:val="center"/>
          </w:tcPr>
          <w:p>
            <w:pPr>
              <w:spacing w:after="0" w:line="252"/>
            </w:pPr>
            <w:r>
              <w:t xml:space="preserve">What payment terms and documentation do you need from us up front?</w:t>
            </w:r>
          </w:p>
        </w:tc>
        <w:tc>
          <w:tcPr>
            <w:tcW w:type="dxa" w:w="4680"/>
            <w:tcBorders>
              <w:top w:val="single" w:color="BFBFBF" w:sz="1"/>
              <w:left w:val="single" w:color="BFBFBF" w:sz="1"/>
              <w:bottom w:val="single" w:color="BFBFBF" w:sz="1"/>
              <w:right w:val="single" w:color="BFBFBF" w:sz="1"/>
            </w:tcBorders>
            <w:shd w:fill="F2F5F9" w:val="clear"/>
            <w:tcMar>
              <w:top w:type="dxa" w:w="70"/>
              <w:left w:type="dxa" w:w="110"/>
              <w:bottom w:type="dxa" w:w="70"/>
              <w:right w:type="dxa" w:w="110"/>
            </w:tcMar>
            <w:vAlign w:val="center"/>
          </w:tcPr>
          <w:p>
            <w:pPr>
              <w:spacing w:after="0" w:line="252"/>
            </w:pPr>
            <w:r>
              <w:t xml:space="preserve">Removes friction before it appears (W-9, COI, net terms).</w:t>
            </w:r>
          </w:p>
        </w:tc>
      </w:tr>
      <w:tr>
        <w:tc>
          <w:tcPr>
            <w:tcW w:type="dxa" w:w="468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t xml:space="preserve">Who should our paperwork and invoices route to so nothing stalls?</w:t>
            </w:r>
          </w:p>
        </w:tc>
        <w:tc>
          <w:tcPr>
            <w:tcW w:type="dxa" w:w="468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t xml:space="preserve">Establishes the process owner relationship and avoids delays.</w:t>
            </w:r>
          </w:p>
        </w:tc>
      </w:tr>
    </w:tbl>
    <w:p>
      <w:pPr>
        <w:spacing w:after="50"/>
      </w:pPr>
      <w:r>
        <w:t xml:space="preserve"/>
      </w:r>
    </w:p>
    <w:p>
      <w:pPr>
        <w:pStyle w:val="Heading3"/>
      </w:pPr>
      <w:r>
        <w:t xml:space="preserve">Email hooks (angles, not full emails)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3800"/>
      </w:tblGrid>
      <w:tr>
        <w:trPr>
          <w:tblHeader/>
        </w:trPr>
        <w:tc>
          <w:tcPr>
            <w:tcW w:type="dxa" w:w="556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52"/>
            </w:pPr>
            <w:r>
              <w:rPr>
                <w:b/>
                <w:bCs/>
                <w:color w:val="FFFFFF"/>
                <w:sz w:val="20"/>
                <w:szCs w:val="20"/>
              </w:rPr>
              <w:t xml:space="preserve">Hook</w:t>
            </w:r>
          </w:p>
        </w:tc>
        <w:tc>
          <w:tcPr>
            <w:tcW w:type="dxa" w:w="38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52"/>
            </w:pPr>
            <w:r>
              <w:rPr>
                <w:b/>
                <w:bCs/>
                <w:color w:val="FFFFFF"/>
                <w:sz w:val="20"/>
                <w:szCs w:val="20"/>
              </w:rPr>
              <w:t xml:space="preserve">Goal</w:t>
            </w:r>
          </w:p>
        </w:tc>
      </w:tr>
      <w:tr>
        <w:tc>
          <w:tcPr>
            <w:tcW w:type="dxa" w:w="55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t xml:space="preserve">“Once Tomoharu and Terry are comfortable, I want to make onboarding us as easy as possible — what do you need?”</w:t>
            </w:r>
          </w:p>
        </w:tc>
        <w:tc>
          <w:tcPr>
            <w:tcW w:type="dxa" w:w="38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t xml:space="preserve">Position as the easy vendor; get the requirements list.</w:t>
            </w:r>
          </w:p>
        </w:tc>
      </w:tr>
      <w:tr>
        <w:tc>
          <w:tcPr>
            <w:tcW w:type="dxa" w:w="5560"/>
            <w:tcBorders>
              <w:top w:val="single" w:color="BFBFBF" w:sz="1"/>
              <w:left w:val="single" w:color="BFBFBF" w:sz="1"/>
              <w:bottom w:val="single" w:color="BFBFBF" w:sz="1"/>
              <w:right w:val="single" w:color="BFBFBF" w:sz="1"/>
            </w:tcBorders>
            <w:shd w:fill="F2F5F9" w:val="clear"/>
            <w:tcMar>
              <w:top w:type="dxa" w:w="70"/>
              <w:left w:type="dxa" w:w="110"/>
              <w:bottom w:type="dxa" w:w="70"/>
              <w:right w:type="dxa" w:w="110"/>
            </w:tcMar>
            <w:vAlign w:val="center"/>
          </w:tcPr>
          <w:p>
            <w:pPr>
              <w:spacing w:after="0" w:line="252"/>
            </w:pPr>
            <w:r>
              <w:t xml:space="preserve">Send the W-9 / insurance / line card proactively after a verbal yes.</w:t>
            </w:r>
          </w:p>
        </w:tc>
        <w:tc>
          <w:tcPr>
            <w:tcW w:type="dxa" w:w="3800"/>
            <w:tcBorders>
              <w:top w:val="single" w:color="BFBFBF" w:sz="1"/>
              <w:left w:val="single" w:color="BFBFBF" w:sz="1"/>
              <w:bottom w:val="single" w:color="BFBFBF" w:sz="1"/>
              <w:right w:val="single" w:color="BFBFBF" w:sz="1"/>
            </w:tcBorders>
            <w:shd w:fill="F2F5F9" w:val="clear"/>
            <w:tcMar>
              <w:top w:type="dxa" w:w="70"/>
              <w:left w:type="dxa" w:w="110"/>
              <w:bottom w:type="dxa" w:w="70"/>
              <w:right w:type="dxa" w:w="110"/>
            </w:tcMar>
            <w:vAlign w:val="center"/>
          </w:tcPr>
          <w:p>
            <w:pPr>
              <w:spacing w:after="0" w:line="252"/>
            </w:pPr>
            <w:r>
              <w:t xml:space="preserve">Speed onboarding and signal professionalism.</w:t>
            </w:r>
          </w:p>
        </w:tc>
      </w:tr>
    </w:tbl>
    <w:p>
      <w:pPr>
        <w:spacing w:after="50"/>
      </w:pPr>
      <w:r>
        <w:t xml:space="preserve"/>
      </w:r>
    </w:p>
    <w:p>
      <w:pPr>
        <w:pStyle w:val="Heading3"/>
      </w:pPr>
      <w:r>
        <w:t xml:space="preserve">Objections — acknowledge → redirect → never argue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52"/>
            </w:pPr>
            <w:r>
              <w:rPr>
                <w:b/>
                <w:bCs/>
                <w:color w:val="FFFFFF"/>
                <w:sz w:val="20"/>
                <w:szCs w:val="20"/>
              </w:rPr>
              <w:t xml:space="preserve">They say</w:t>
            </w:r>
          </w:p>
        </w:tc>
        <w:tc>
          <w:tcPr>
            <w:tcW w:type="dxa" w:w="596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52"/>
            </w:pPr>
            <w:r>
              <w:rPr>
                <w:b/>
                <w:bCs/>
                <w:color w:val="FFFFFF"/>
                <w:sz w:val="20"/>
                <w:szCs w:val="20"/>
              </w:rPr>
              <w:t xml:space="preserve">You say</w:t>
            </w:r>
          </w:p>
        </w:tc>
      </w:tr>
      <w:tr>
        <w:tc>
          <w:tcPr>
            <w:tcW w:type="dxa" w:w="34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b/>
                <w:bCs/>
              </w:rPr>
              <w:t xml:space="preserve">We have a long vendor-approval process.</w:t>
            </w:r>
          </w:p>
        </w:tc>
        <w:tc>
          <w:tcPr>
            <w:tcW w:type="dxa" w:w="59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t xml:space="preserve">No problem — tell me everything you need and I’ll have it back same day so we don’t lose time.</w:t>
            </w:r>
          </w:p>
        </w:tc>
      </w:tr>
      <w:tr>
        <w:tc>
          <w:tcPr>
            <w:tcW w:type="dxa" w:w="3400"/>
            <w:tcBorders>
              <w:top w:val="single" w:color="BFBFBF" w:sz="1"/>
              <w:left w:val="single" w:color="BFBFBF" w:sz="1"/>
              <w:bottom w:val="single" w:color="BFBFBF" w:sz="1"/>
              <w:right w:val="single" w:color="BFBFBF" w:sz="1"/>
            </w:tcBorders>
            <w:shd w:fill="F2F5F9" w:val="clear"/>
            <w:tcMar>
              <w:top w:type="dxa" w:w="70"/>
              <w:left w:type="dxa" w:w="110"/>
              <w:bottom w:type="dxa" w:w="70"/>
              <w:right w:type="dxa" w:w="110"/>
            </w:tcMar>
            <w:vAlign w:val="center"/>
          </w:tcPr>
          <w:p>
            <w:pPr>
              <w:spacing w:after="0" w:line="252"/>
            </w:pPr>
            <w:r>
              <w:rPr>
                <w:b/>
                <w:bCs/>
              </w:rPr>
              <w:t xml:space="preserve">Send everything in writing.</w:t>
            </w:r>
          </w:p>
        </w:tc>
        <w:tc>
          <w:tcPr>
            <w:tcW w:type="dxa" w:w="5960"/>
            <w:tcBorders>
              <w:top w:val="single" w:color="BFBFBF" w:sz="1"/>
              <w:left w:val="single" w:color="BFBFBF" w:sz="1"/>
              <w:bottom w:val="single" w:color="BFBFBF" w:sz="1"/>
              <w:right w:val="single" w:color="BFBFBF" w:sz="1"/>
            </w:tcBorders>
            <w:shd w:fill="F2F5F9" w:val="clear"/>
            <w:tcMar>
              <w:top w:type="dxa" w:w="70"/>
              <w:left w:type="dxa" w:w="110"/>
              <w:bottom w:type="dxa" w:w="70"/>
              <w:right w:type="dxa" w:w="110"/>
            </w:tcMar>
            <w:vAlign w:val="center"/>
          </w:tcPr>
          <w:p>
            <w:pPr>
              <w:spacing w:after="0" w:line="252"/>
            </w:pPr>
            <w:r>
              <w:t xml:space="preserve">Will do — W-9, insurance, and terms on the way. Anything else to get us set up cleanly?</w:t>
            </w:r>
          </w:p>
        </w:tc>
      </w:tr>
      <w:tr>
        <w:tc>
          <w:tcPr>
            <w:tcW w:type="dxa" w:w="34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b/>
                <w:bCs/>
              </w:rPr>
              <w:t xml:space="preserve">We don’t add vendors easily.</w:t>
            </w:r>
          </w:p>
        </w:tc>
        <w:tc>
          <w:tcPr>
            <w:tcW w:type="dxa" w:w="59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t xml:space="preserve">Understood — a pilot can run as a simple eval first, so there’s minimal paperwork until the team decides to scale.</w:t>
            </w:r>
          </w:p>
        </w:tc>
      </w:tr>
    </w:tbl>
    <w:p>
      <w:r>
        <w:br w:type="page"/>
      </w:r>
    </w:p>
    <w:p>
      <w:pPr>
        <w:pStyle w:val="Heading1"/>
      </w:pPr>
      <w:r>
        <w:t xml:space="preserve">Channel Priority Ranking</w:t>
      </w:r>
    </w:p>
    <w:p>
      <w:pPr>
        <w:pBdr>
          <w:bottom w:val="single" w:color="2E8B6F" w:sz="10" w:space="1"/>
        </w:pBdr>
        <w:spacing w:after="120" w:before="40"/>
      </w:pPr>
      <w:r>
        <w:t xml:space="preserve"/>
      </w:r>
    </w:p>
    <w:p>
      <w:pPr>
        <w:pStyle w:val="Heading3"/>
      </w:pPr>
      <w:r>
        <w:t xml:space="preserve">Cold call — best single question per contact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52"/>
            </w:pPr>
            <w:r>
              <w:rPr>
                <w:b/>
                <w:bCs/>
                <w:color w:val="FFFFFF"/>
                <w:sz w:val="20"/>
                <w:szCs w:val="20"/>
              </w:rPr>
              <w:t xml:space="preserve">Contact</w:t>
            </w:r>
          </w:p>
        </w:tc>
        <w:tc>
          <w:tcPr>
            <w:tcW w:type="dxa" w:w="676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52"/>
            </w:pPr>
            <w:r>
              <w:rPr>
                <w:b/>
                <w:bCs/>
                <w:color w:val="FFFFFF"/>
                <w:sz w:val="20"/>
                <w:szCs w:val="20"/>
              </w:rPr>
              <w:t xml:space="preserve">Open with</w:t>
            </w:r>
          </w:p>
        </w:tc>
      </w:tr>
      <w:tr>
        <w:tc>
          <w:tcPr>
            <w:tcW w:type="dxa" w:w="26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b/>
                <w:bCs/>
              </w:rPr>
              <w:t xml:space="preserve">Oggie Watson</w:t>
            </w:r>
          </w:p>
        </w:tc>
        <w:tc>
          <w:tcPr>
            <w:tcW w:type="dxa" w:w="67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sz w:val="19"/>
                <w:szCs w:val="19"/>
              </w:rPr>
              <w:t xml:space="preserve">“What’s the most frustrating part of keeping 800 acres watered right?” (best cold-call target overall)</w:t>
            </w:r>
          </w:p>
        </w:tc>
      </w:tr>
      <w:tr>
        <w:tc>
          <w:tcPr>
            <w:tcW w:type="dxa" w:w="2600"/>
            <w:tcBorders>
              <w:top w:val="single" w:color="BFBFBF" w:sz="1"/>
              <w:left w:val="single" w:color="BFBFBF" w:sz="1"/>
              <w:bottom w:val="single" w:color="BFBFBF" w:sz="1"/>
              <w:right w:val="single" w:color="BFBFBF" w:sz="1"/>
            </w:tcBorders>
            <w:shd w:fill="F2F5F9" w:val="clear"/>
            <w:tcMar>
              <w:top w:type="dxa" w:w="70"/>
              <w:left w:type="dxa" w:w="110"/>
              <w:bottom w:type="dxa" w:w="70"/>
              <w:right w:type="dxa" w:w="110"/>
            </w:tcMar>
            <w:vAlign w:val="center"/>
          </w:tcPr>
          <w:p>
            <w:pPr>
              <w:spacing w:after="0" w:line="252"/>
            </w:pPr>
            <w:r>
              <w:rPr>
                <w:b/>
                <w:bCs/>
              </w:rPr>
              <w:t xml:space="preserve">Tomoharu Iwo</w:t>
            </w:r>
          </w:p>
        </w:tc>
        <w:tc>
          <w:tcPr>
            <w:tcW w:type="dxa" w:w="6760"/>
            <w:tcBorders>
              <w:top w:val="single" w:color="BFBFBF" w:sz="1"/>
              <w:left w:val="single" w:color="BFBFBF" w:sz="1"/>
              <w:bottom w:val="single" w:color="BFBFBF" w:sz="1"/>
              <w:right w:val="single" w:color="BFBFBF" w:sz="1"/>
            </w:tcBorders>
            <w:shd w:fill="F2F5F9" w:val="clear"/>
            <w:tcMar>
              <w:top w:type="dxa" w:w="70"/>
              <w:left w:type="dxa" w:w="110"/>
              <w:bottom w:type="dxa" w:w="70"/>
              <w:right w:type="dxa" w:w="110"/>
            </w:tcMar>
            <w:vAlign w:val="center"/>
          </w:tcPr>
          <w:p>
            <w:pPr>
              <w:spacing w:after="0" w:line="252"/>
            </w:pPr>
            <w:r>
              <w:rPr>
                <w:sz w:val="19"/>
                <w:szCs w:val="19"/>
              </w:rPr>
              <w:t xml:space="preserve">“What are you running for irrigation control across the four sites today?”</w:t>
            </w:r>
          </w:p>
        </w:tc>
      </w:tr>
      <w:tr>
        <w:tc>
          <w:tcPr>
            <w:tcW w:type="dxa" w:w="26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b/>
                <w:bCs/>
              </w:rPr>
              <w:t xml:space="preserve">Terry Yasutake</w:t>
            </w:r>
          </w:p>
        </w:tc>
        <w:tc>
          <w:tcPr>
            <w:tcW w:type="dxa" w:w="67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sz w:val="19"/>
                <w:szCs w:val="19"/>
              </w:rPr>
              <w:t xml:space="preserve">“What would water savings across all four ranches need to look like to matter to you?” (warm-leaning)</w:t>
            </w:r>
          </w:p>
        </w:tc>
      </w:tr>
      <w:tr>
        <w:tc>
          <w:tcPr>
            <w:tcW w:type="dxa" w:w="2600"/>
            <w:tcBorders>
              <w:top w:val="single" w:color="BFBFBF" w:sz="1"/>
              <w:left w:val="single" w:color="BFBFBF" w:sz="1"/>
              <w:bottom w:val="single" w:color="BFBFBF" w:sz="1"/>
              <w:right w:val="single" w:color="BFBFBF" w:sz="1"/>
            </w:tcBorders>
            <w:shd w:fill="F2F5F9" w:val="clear"/>
            <w:tcMar>
              <w:top w:type="dxa" w:w="70"/>
              <w:left w:type="dxa" w:w="110"/>
              <w:bottom w:type="dxa" w:w="70"/>
              <w:right w:type="dxa" w:w="110"/>
            </w:tcMar>
            <w:vAlign w:val="center"/>
          </w:tcPr>
          <w:p>
            <w:pPr>
              <w:spacing w:after="0" w:line="252"/>
            </w:pPr>
            <w:r>
              <w:rPr>
                <w:b/>
                <w:bCs/>
              </w:rPr>
              <w:t xml:space="preserve">Judith Capulong</w:t>
            </w:r>
          </w:p>
        </w:tc>
        <w:tc>
          <w:tcPr>
            <w:tcW w:type="dxa" w:w="6760"/>
            <w:tcBorders>
              <w:top w:val="single" w:color="BFBFBF" w:sz="1"/>
              <w:left w:val="single" w:color="BFBFBF" w:sz="1"/>
              <w:bottom w:val="single" w:color="BFBFBF" w:sz="1"/>
              <w:right w:val="single" w:color="BFBFBF" w:sz="1"/>
            </w:tcBorders>
            <w:shd w:fill="F2F5F9" w:val="clear"/>
            <w:tcMar>
              <w:top w:type="dxa" w:w="70"/>
              <w:left w:type="dxa" w:w="110"/>
              <w:bottom w:type="dxa" w:w="70"/>
              <w:right w:type="dxa" w:w="110"/>
            </w:tcMar>
            <w:vAlign w:val="center"/>
          </w:tcPr>
          <w:p>
            <w:pPr>
              <w:spacing w:after="0" w:line="252"/>
            </w:pPr>
            <w:r>
              <w:rPr>
                <w:sz w:val="19"/>
                <w:szCs w:val="19"/>
              </w:rPr>
              <w:t xml:space="preserve">“What’s your process to onboard a new equipment vendor?” (only after buy-in)</w:t>
            </w:r>
          </w:p>
        </w:tc>
      </w:tr>
    </w:tbl>
    <w:p>
      <w:pPr>
        <w:spacing w:after="50"/>
      </w:pPr>
      <w:r>
        <w:t xml:space="preserve"/>
      </w:r>
    </w:p>
    <w:p>
      <w:pPr>
        <w:pStyle w:val="Heading3"/>
      </w:pPr>
      <w:r>
        <w:t xml:space="preserve">Walkthrough — priority question sequence</w:t>
      </w:r>
    </w:p>
    <w:p>
      <w:pPr>
        <w:pStyle w:val="ListParagraph"/>
        <w:numPr>
          <w:ilvl w:val="0"/>
          <w:numId w:val="2"/>
        </w:numPr>
        <w:spacing w:after="60" w:line="264"/>
      </w:pPr>
      <w:r>
        <w:rPr>
          <w:b/>
          <w:bCs/>
        </w:rPr>
        <w:t xml:space="preserve">Iwo: </w:t>
      </w:r>
      <w:r>
        <w:t xml:space="preserve">current system → failure/response cost → central-control value → evaluation criteria → who scales it.</w:t>
      </w:r>
    </w:p>
    <w:p>
      <w:pPr>
        <w:pStyle w:val="ListParagraph"/>
        <w:numPr>
          <w:ilvl w:val="0"/>
          <w:numId w:val="2"/>
        </w:numPr>
        <w:spacing w:after="60" w:line="264"/>
      </w:pPr>
      <w:r>
        <w:rPr>
          <w:b/>
          <w:bCs/>
        </w:rPr>
        <w:t xml:space="preserve">Watson: </w:t>
      </w:r>
      <w:r>
        <w:t xml:space="preserve">how watering is decided → hot-day failures → windshield time → where water is lost → pick the pilot block.</w:t>
      </w:r>
    </w:p>
    <w:p>
      <w:pPr>
        <w:pStyle w:val="ListParagraph"/>
        <w:numPr>
          <w:ilvl w:val="0"/>
          <w:numId w:val="2"/>
        </w:numPr>
        <w:spacing w:after="60" w:line="264"/>
      </w:pPr>
      <w:r>
        <w:rPr>
          <w:b/>
          <w:bCs/>
        </w:rPr>
        <w:t xml:space="preserve">Terry: </w:t>
      </w:r>
      <w:r>
        <w:t xml:space="preserve">water in the 3-yr view → team-proven on one block → concern about tech on production → scale ranch-by-ranch?</w:t>
      </w:r>
    </w:p>
    <w:p>
      <w:pPr>
        <w:pStyle w:val="ListParagraph"/>
        <w:numPr>
          <w:ilvl w:val="0"/>
          <w:numId w:val="2"/>
        </w:numPr>
        <w:spacing w:after="60" w:line="264"/>
      </w:pPr>
      <w:r>
        <w:rPr>
          <w:b/>
          <w:bCs/>
        </w:rPr>
        <w:t xml:space="preserve">Capulong: </w:t>
      </w:r>
      <w:r>
        <w:t xml:space="preserve">trial vs PO → terms/docs → invoice routing.</w:t>
      </w:r>
    </w:p>
    <w:p>
      <w:pPr>
        <w:spacing w:after="50"/>
      </w:pPr>
      <w:r>
        <w:t xml:space="preserve"/>
      </w:r>
    </w:p>
    <w:p>
      <w:pPr>
        <w:pStyle w:val="Heading3"/>
      </w:pPr>
      <w:r>
        <w:t xml:space="preserve">Email — best hook per contact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52"/>
            </w:pPr>
            <w:r>
              <w:rPr>
                <w:b/>
                <w:bCs/>
                <w:color w:val="FFFFFF"/>
                <w:sz w:val="20"/>
                <w:szCs w:val="20"/>
              </w:rPr>
              <w:t xml:space="preserve">Contact</w:t>
            </w:r>
          </w:p>
        </w:tc>
        <w:tc>
          <w:tcPr>
            <w:tcW w:type="dxa" w:w="736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52"/>
            </w:pPr>
            <w:r>
              <w:rPr>
                <w:b/>
                <w:bCs/>
                <w:color w:val="FFFFFF"/>
                <w:sz w:val="20"/>
                <w:szCs w:val="20"/>
              </w:rPr>
              <w:t xml:space="preserve">Best hook</w:t>
            </w:r>
          </w:p>
        </w:tc>
      </w:tr>
      <w:tr>
        <w:tc>
          <w:tcPr>
            <w:tcW w:type="dxa" w:w="20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b/>
                <w:bCs/>
              </w:rPr>
              <w:t xml:space="preserve">Iwo</w:t>
            </w:r>
          </w:p>
        </w:tc>
        <w:tc>
          <w:tcPr>
            <w:tcW w:type="dxa" w:w="73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sz w:val="19"/>
                <w:szCs w:val="19"/>
              </w:rPr>
              <w:t xml:space="preserve">His Plant California Alliance role + the new state water-logging rules — ask his read on automating irrigation.</w:t>
            </w:r>
          </w:p>
        </w:tc>
      </w:tr>
      <w:tr>
        <w:tc>
          <w:tcPr>
            <w:tcW w:type="dxa" w:w="2000"/>
            <w:tcBorders>
              <w:top w:val="single" w:color="BFBFBF" w:sz="1"/>
              <w:left w:val="single" w:color="BFBFBF" w:sz="1"/>
              <w:bottom w:val="single" w:color="BFBFBF" w:sz="1"/>
              <w:right w:val="single" w:color="BFBFBF" w:sz="1"/>
            </w:tcBorders>
            <w:shd w:fill="F2F5F9" w:val="clear"/>
            <w:tcMar>
              <w:top w:type="dxa" w:w="70"/>
              <w:left w:type="dxa" w:w="110"/>
              <w:bottom w:type="dxa" w:w="70"/>
              <w:right w:type="dxa" w:w="110"/>
            </w:tcMar>
            <w:vAlign w:val="center"/>
          </w:tcPr>
          <w:p>
            <w:pPr>
              <w:spacing w:after="0" w:line="252"/>
            </w:pPr>
            <w:r>
              <w:rPr>
                <w:b/>
                <w:bCs/>
              </w:rPr>
              <w:t xml:space="preserve">Terry</w:t>
            </w:r>
          </w:p>
        </w:tc>
        <w:tc>
          <w:tcPr>
            <w:tcW w:type="dxa" w:w="7360"/>
            <w:tcBorders>
              <w:top w:val="single" w:color="BFBFBF" w:sz="1"/>
              <w:left w:val="single" w:color="BFBFBF" w:sz="1"/>
              <w:bottom w:val="single" w:color="BFBFBF" w:sz="1"/>
              <w:right w:val="single" w:color="BFBFBF" w:sz="1"/>
            </w:tcBorders>
            <w:shd w:fill="F2F5F9" w:val="clear"/>
            <w:tcMar>
              <w:top w:type="dxa" w:w="70"/>
              <w:left w:type="dxa" w:w="110"/>
              <w:bottom w:type="dxa" w:w="70"/>
              <w:right w:type="dxa" w:w="110"/>
            </w:tcMar>
            <w:vAlign w:val="center"/>
          </w:tcPr>
          <w:p>
            <w:pPr>
              <w:spacing w:after="0" w:line="252"/>
            </w:pPr>
            <w:r>
              <w:rPr>
                <w:sz w:val="19"/>
                <w:szCs w:val="19"/>
              </w:rPr>
              <w:t xml:space="preserve">Warm intro via Iwo: team’s locking in water savings + getting ahead of state rules.</w:t>
            </w:r>
          </w:p>
        </w:tc>
      </w:tr>
      <w:tr>
        <w:tc>
          <w:tcPr>
            <w:tcW w:type="dxa" w:w="20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b/>
                <w:bCs/>
              </w:rPr>
              <w:t xml:space="preserve">Watson</w:t>
            </w:r>
          </w:p>
        </w:tc>
        <w:tc>
          <w:tcPr>
            <w:tcW w:type="dxa" w:w="73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sz w:val="19"/>
                <w:szCs w:val="19"/>
              </w:rPr>
              <w:t xml:space="preserve">(Phone preferred.) If emailed: see/control every zone from your phone — try it on one block.</w:t>
            </w:r>
          </w:p>
        </w:tc>
      </w:tr>
      <w:tr>
        <w:tc>
          <w:tcPr>
            <w:tcW w:type="dxa" w:w="2000"/>
            <w:tcBorders>
              <w:top w:val="single" w:color="BFBFBF" w:sz="1"/>
              <w:left w:val="single" w:color="BFBFBF" w:sz="1"/>
              <w:bottom w:val="single" w:color="BFBFBF" w:sz="1"/>
              <w:right w:val="single" w:color="BFBFBF" w:sz="1"/>
            </w:tcBorders>
            <w:shd w:fill="F2F5F9" w:val="clear"/>
            <w:tcMar>
              <w:top w:type="dxa" w:w="70"/>
              <w:left w:type="dxa" w:w="110"/>
              <w:bottom w:type="dxa" w:w="70"/>
              <w:right w:type="dxa" w:w="110"/>
            </w:tcMar>
            <w:vAlign w:val="center"/>
          </w:tcPr>
          <w:p>
            <w:pPr>
              <w:spacing w:after="0" w:line="252"/>
            </w:pPr>
            <w:r>
              <w:rPr>
                <w:b/>
                <w:bCs/>
              </w:rPr>
              <w:t xml:space="preserve">Capulong</w:t>
            </w:r>
          </w:p>
        </w:tc>
        <w:tc>
          <w:tcPr>
            <w:tcW w:type="dxa" w:w="7360"/>
            <w:tcBorders>
              <w:top w:val="single" w:color="BFBFBF" w:sz="1"/>
              <w:left w:val="single" w:color="BFBFBF" w:sz="1"/>
              <w:bottom w:val="single" w:color="BFBFBF" w:sz="1"/>
              <w:right w:val="single" w:color="BFBFBF" w:sz="1"/>
            </w:tcBorders>
            <w:shd w:fill="F2F5F9" w:val="clear"/>
            <w:tcMar>
              <w:top w:type="dxa" w:w="70"/>
              <w:left w:type="dxa" w:w="110"/>
              <w:bottom w:type="dxa" w:w="70"/>
              <w:right w:type="dxa" w:w="110"/>
            </w:tcMar>
            <w:vAlign w:val="center"/>
          </w:tcPr>
          <w:p>
            <w:pPr>
              <w:spacing w:after="0" w:line="252"/>
            </w:pPr>
            <w:r>
              <w:rPr>
                <w:sz w:val="19"/>
                <w:szCs w:val="19"/>
              </w:rPr>
              <w:t xml:space="preserve">Post-yes: “make onboarding us as easy as possible — what do you need?”</w:t>
            </w:r>
          </w:p>
        </w:tc>
      </w:tr>
    </w:tbl>
    <w:p>
      <w:r>
        <w:br w:type="page"/>
      </w:r>
    </w:p>
    <w:p>
      <w:pPr>
        <w:pStyle w:val="Heading1"/>
      </w:pPr>
      <w:r>
        <w:t xml:space="preserve">General Rules</w:t>
      </w:r>
    </w:p>
    <w:p>
      <w:pPr>
        <w:pBdr>
          <w:bottom w:val="single" w:color="2E8B6F" w:sz="10" w:space="1"/>
        </w:pBdr>
        <w:spacing w:after="120" w:before="40"/>
      </w:pPr>
      <w:r>
        <w:t xml:space="preserve"/>
      </w:r>
    </w:p>
    <w:p>
      <w:pPr>
        <w:pStyle w:val="ListParagraph"/>
        <w:numPr>
          <w:ilvl w:val="0"/>
          <w:numId w:val="2"/>
        </w:numPr>
        <w:spacing w:after="60" w:line="264"/>
      </w:pPr>
      <w:r>
        <w:rPr>
          <w:b/>
          <w:bCs/>
        </w:rPr>
        <w:t xml:space="preserve">Mirror their language. </w:t>
      </w:r>
      <w:r>
        <w:t xml:space="preserve">They say ‘blocks,’ ‘ranches,’ ‘yards’ — you say the same. Don’t impose ‘zones’ if they say ‘blocks.’</w:t>
      </w:r>
    </w:p>
    <w:p>
      <w:pPr>
        <w:pStyle w:val="ListParagraph"/>
        <w:numPr>
          <w:ilvl w:val="0"/>
          <w:numId w:val="2"/>
        </w:numPr>
        <w:spacing w:after="60" w:line="264"/>
      </w:pPr>
      <w:r>
        <w:rPr>
          <w:b/>
          <w:bCs/>
        </w:rPr>
        <w:t xml:space="preserve">70/30 listen ratio. </w:t>
      </w:r>
      <w:r>
        <w:t xml:space="preserve">Especially with Watson and Terry. Ask, then shut up. The discovery is worth more than the pitch.</w:t>
      </w:r>
    </w:p>
    <w:p>
      <w:pPr>
        <w:pStyle w:val="ListParagraph"/>
        <w:numPr>
          <w:ilvl w:val="0"/>
          <w:numId w:val="2"/>
        </w:numPr>
        <w:spacing w:after="60" w:line="264"/>
      </w:pPr>
      <w:r>
        <w:rPr>
          <w:b/>
          <w:bCs/>
        </w:rPr>
        <w:t xml:space="preserve">One or two questions on a cold call. </w:t>
      </w:r>
      <w:r>
        <w:t xml:space="preserve">You have ~60 seconds to earn 5 minutes. Don’t dump the walkthrough list on the phone.</w:t>
      </w:r>
    </w:p>
    <w:p>
      <w:pPr>
        <w:pStyle w:val="ListParagraph"/>
        <w:numPr>
          <w:ilvl w:val="0"/>
          <w:numId w:val="2"/>
        </w:numPr>
        <w:spacing w:after="60" w:line="264"/>
      </w:pPr>
      <w:r>
        <w:rPr>
          <w:b/>
          <w:bCs/>
        </w:rPr>
        <w:t xml:space="preserve">Acknowledge → redirect → never argue. </w:t>
      </w:r>
      <w:r>
        <w:t xml:space="preserve">Every objection. You’re not winning a debate; you’re lowering risk.</w:t>
      </w:r>
    </w:p>
    <w:p>
      <w:pPr>
        <w:pStyle w:val="ListParagraph"/>
        <w:numPr>
          <w:ilvl w:val="0"/>
          <w:numId w:val="2"/>
        </w:numPr>
        <w:spacing w:after="60" w:line="264"/>
      </w:pPr>
      <w:r>
        <w:rPr>
          <w:b/>
          <w:bCs/>
        </w:rPr>
        <w:t xml:space="preserve">Always book the next step. </w:t>
      </w:r>
      <w:r>
        <w:t xml:space="preserve">End every good conversation by booking the walkthrough (Drew/Dustin, Zoom) — send the invite before you hang up.</w:t>
      </w:r>
    </w:p>
    <w:p>
      <w:pPr>
        <w:pStyle w:val="ListParagraph"/>
        <w:numPr>
          <w:ilvl w:val="0"/>
          <w:numId w:val="2"/>
        </w:numPr>
        <w:spacing w:after="60" w:line="264"/>
      </w:pPr>
      <w:r>
        <w:rPr>
          <w:b/>
          <w:bCs/>
        </w:rPr>
        <w:t xml:space="preserve">Call it a ‘walkthrough,’ never a ‘demo’ or ‘discovery call.’ </w:t>
      </w:r>
      <w:r>
        <w:t xml:space="preserve">‘Walkthrough’ feels collaborative and low-pressure.</w:t>
      </w:r>
    </w:p>
    <w:p>
      <w:pPr>
        <w:pStyle w:val="ListParagraph"/>
        <w:numPr>
          <w:ilvl w:val="0"/>
          <w:numId w:val="2"/>
        </w:numPr>
        <w:spacing w:after="60" w:line="264"/>
      </w:pPr>
      <w:r>
        <w:rPr>
          <w:b/>
          <w:bCs/>
        </w:rPr>
        <w:t xml:space="preserve">Lead with one block. </w:t>
      </w:r>
      <w:r>
        <w:t xml:space="preserve">The pilot is your close on every contact — cheap, fast (~10-min install), low-risk, proves the number.</w:t>
      </w:r>
    </w:p>
    <w:p>
      <w:pPr>
        <w:pStyle w:val="ListParagraph"/>
        <w:numPr>
          <w:ilvl w:val="0"/>
          <w:numId w:val="2"/>
        </w:numPr>
        <w:spacing w:after="60" w:line="264"/>
      </w:pPr>
      <w:r>
        <w:rPr>
          <w:b/>
          <w:bCs/>
        </w:rPr>
        <w:t xml:space="preserve">Be honest on references. </w:t>
      </w:r>
      <w:r>
        <w:t xml:space="preserve">‘We work with commercial growers running similar setups.’ If T-Y would be our first of their exact type, sell that as first-partner advantage — never fake a track record.</w:t>
      </w:r>
    </w:p>
    <w:p>
      <w:pPr>
        <w:pStyle w:val="ListParagraph"/>
        <w:numPr>
          <w:ilvl w:val="0"/>
          <w:numId w:val="2"/>
        </w:numPr>
        <w:spacing w:after="60" w:line="264"/>
      </w:pPr>
      <w:r>
        <w:rPr>
          <w:b/>
          <w:bCs/>
        </w:rPr>
        <w:t xml:space="preserve">Verify emails before sending. </w:t>
      </w:r>
      <w:r>
        <w:t xml:space="preserve">Addresses are pattern-based; a bounce to Terry or Iwo burns a first impression.</w:t>
      </w:r>
    </w:p>
    <w:p>
      <w:pPr>
        <w:pStyle w:val="ListParagraph"/>
        <w:numPr>
          <w:ilvl w:val="0"/>
          <w:numId w:val="2"/>
        </w:numPr>
        <w:spacing w:after="60" w:line="264"/>
      </w:pPr>
      <w:r>
        <w:rPr>
          <w:b/>
          <w:bCs/>
        </w:rPr>
        <w:t xml:space="preserve">Use the gatekeeper opener. </w:t>
      </w:r>
      <w:r>
        <w:t xml:space="preserve">Frame as a question about their setup, not ‘calling about a product.’ Never ask ‘is the owner available?’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6F54" w:sz="4"/>
              <w:left w:val="single" w:color="1F6F54" w:sz="18"/>
              <w:bottom w:val="single" w:color="1F6F54" w:sz="4"/>
              <w:right w:val="single" w:color="1F6F54" w:sz="4"/>
            </w:tcBorders>
            <w:shd w:fill="E2EFDA" w:val="clear"/>
            <w:tcMar>
              <w:top w:type="dxa" w:w="110"/>
              <w:left w:type="dxa" w:w="160"/>
              <w:bottom w:type="dxa" w:w="110"/>
              <w:right w:type="dxa" w:w="140"/>
            </w:tcMar>
          </w:tcPr>
          <w:p>
            <w:pPr>
              <w:spacing w:after="0" w:before="0" w:line="264"/>
            </w:pPr>
            <w:r>
              <w:rPr>
                <w:b/>
                <w:bCs/>
                <w:color w:val="1F3864"/>
              </w:rPr>
              <w:t xml:space="preserve">The one-line strategy: </w:t>
            </w:r>
            <w:r>
              <w:t xml:space="preserve">Get Iwo and Watson talking about water and the new rules, prove 20–30% on one block, and let the team carry it to Terry — all within an easy drive of Anaheim.</w:t>
            </w:r>
          </w:p>
        </w:tc>
      </w:tr>
    </w:tbl>
    <w:sectPr>
      <w:headerReference w:type="default" r:id="rId7"/>
      <w:footerReference w:type="default" r:id="rId8"/>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6" w:space="2"/>
      </w:pBdr>
      <w:tabs>
        <w:tab w:val="right" w:pos="9360"/>
      </w:tabs>
      <w:spacing w:before="40"/>
    </w:pPr>
    <w:r>
      <w:rPr>
        <w:color w:val="808080"/>
        <w:sz w:val="15"/>
        <w:szCs w:val="15"/>
      </w:rPr>
      <w:t xml:space="preserve">Confidential — Internal Sales Use Only</w:t>
    </w:r>
    <w:r>
      <w:rPr>
        <w:color w:val="808080"/>
        <w:sz w:val="15"/>
        <w:szCs w:val="15"/>
      </w:rPr>
      <w:t xml:space="preserve">	Page </w:t>
    </w:r>
    <w:r>
      <w:rPr>
        <w:color w:val="8080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B6F" w:sz="6" w:space="2"/>
      </w:pBdr>
      <w:tabs>
        <w:tab w:val="right" w:pos="9360"/>
      </w:tabs>
      <w:spacing w:after="40"/>
    </w:pPr>
    <w:r>
      <w:rPr>
        <w:b/>
        <w:bCs/>
        <w:color w:val="1F3864"/>
        <w:sz w:val="16"/>
        <w:szCs w:val="16"/>
      </w:rPr>
      <w:t xml:space="preserve">LINK4 CORPORATION</w:t>
    </w:r>
    <w:r>
      <w:rPr>
        <w:color w:val="808080"/>
        <w:sz w:val="16"/>
        <w:szCs w:val="16"/>
      </w:rPr>
      <w:t xml:space="preserve">	Conversation &amp; Objection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10" w:before="220"/>
      <w:outlineLvl w:val="1"/>
    </w:pPr>
    <w:rPr>
      <w:rFonts w:ascii="Arial" w:cs="Arial" w:eastAsia="Arial" w:hAnsi="Arial"/>
      <w:b/>
      <w:bCs/>
      <w:color w:val="1F3864"/>
      <w:sz w:val="25"/>
      <w:szCs w:val="25"/>
    </w:rPr>
  </w:style>
  <w:style w:type="paragraph" w:styleId="Heading3">
    <w:name w:val="Heading 3"/>
    <w:basedOn w:val="Normal"/>
    <w:next w:val="Normal"/>
    <w:qFormat/>
    <w:pPr>
      <w:spacing w:after="80" w:before="160"/>
      <w:outlineLvl w:val="2"/>
    </w:pPr>
    <w:rPr>
      <w:rFonts w:ascii="Arial" w:cs="Arial" w:eastAsia="Arial" w:hAnsi="Arial"/>
      <w:b/>
      <w:bCs/>
      <w:color w:val="1F6F5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2026-06-10T14:13:44.466Z</dcterms:created>
  <dcterms:modified xsi:type="dcterms:W3CDTF">2026-06-10T14:13:44.467Z</dcterms:modified>
</cp:coreProperties>
</file>

<file path=docProps/custom.xml><?xml version="1.0" encoding="utf-8"?>
<Properties xmlns="http://schemas.openxmlformats.org/officeDocument/2006/custom-properties" xmlns:vt="http://schemas.openxmlformats.org/officeDocument/2006/docPropsVTypes"/>
</file>