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b/>
          <w:bCs/>
          <w:color w:val="2E8B6F"/>
          <w:sz w:val="22"/>
          <w:szCs w:val="22"/>
        </w:rPr>
        <w:t xml:space="preserve">LINK4 CORPORATION</w:t>
      </w:r>
    </w:p>
    <w:p>
      <w:pPr>
        <w:pBdr>
          <w:bottom w:val="single" w:color="1F3864" w:sz="18" w:space="4"/>
        </w:pBdr>
        <w:spacing w:after="0" w:before="60"/>
      </w:pPr>
      <w:r>
        <w:rPr>
          <w:b/>
          <w:bCs/>
          <w:color w:val="1F3864"/>
          <w:sz w:val="44"/>
          <w:szCs w:val="44"/>
        </w:rPr>
        <w:t xml:space="preserve">Strategic Outreach Flowchart</w:t>
      </w:r>
    </w:p>
    <w:p>
      <w:pPr>
        <w:spacing w:after="0" w:before="160"/>
      </w:pPr>
      <w:r>
        <w:rPr>
          <w:color w:val="404040"/>
          <w:sz w:val="26"/>
          <w:szCs w:val="26"/>
        </w:rPr>
        <w:t xml:space="preserve">T-Y Nursery, Inc. — HydroRoot Smart Irrigation (End User)</w:t>
      </w:r>
    </w:p>
    <w:p>
      <w:pPr>
        <w:spacing w:after="0" w:before="40"/>
      </w:pPr>
      <w:r>
        <w:rPr>
          <w:b/>
          <w:bCs/>
          <w:color w:val="1F3864"/>
          <w:sz w:val="19"/>
          <w:szCs w:val="19"/>
        </w:rPr>
        <w:t xml:space="preserve">Prepared for:  </w:t>
      </w:r>
      <w:r>
        <w:rPr>
          <w:color w:val="404040"/>
          <w:sz w:val="19"/>
          <w:szCs w:val="19"/>
        </w:rPr>
        <w:t xml:space="preserve">Asees — Link4 Sales</w:t>
      </w:r>
    </w:p>
    <w:p>
      <w:pPr>
        <w:spacing w:after="0" w:before="40"/>
      </w:pPr>
      <w:r>
        <w:rPr>
          <w:b/>
          <w:bCs/>
          <w:color w:val="1F3864"/>
          <w:sz w:val="19"/>
          <w:szCs w:val="19"/>
        </w:rPr>
        <w:t xml:space="preserve">Vertical:  </w:t>
      </w:r>
      <w:r>
        <w:rPr>
          <w:color w:val="404040"/>
          <w:sz w:val="19"/>
          <w:szCs w:val="19"/>
        </w:rPr>
        <w:t xml:space="preserve">Irrigation / HydroRoot — Commercial Grower (End User)</w:t>
      </w:r>
    </w:p>
    <w:p>
      <w:pPr>
        <w:spacing w:after="0" w:before="40"/>
      </w:pPr>
      <w:r>
        <w:rPr>
          <w:b/>
          <w:bCs/>
          <w:color w:val="1F3864"/>
          <w:sz w:val="19"/>
          <w:szCs w:val="19"/>
        </w:rPr>
        <w:t xml:space="preserve">Prospect tier:  </w:t>
      </w:r>
      <w:r>
        <w:rPr>
          <w:color w:val="404040"/>
          <w:sz w:val="19"/>
          <w:szCs w:val="19"/>
        </w:rPr>
        <w:t xml:space="preserve">Medium-Strong fit — high-priority local target</w:t>
      </w:r>
    </w:p>
    <w:p>
      <w:pPr>
        <w:spacing w:after="0" w:before="40"/>
      </w:pPr>
      <w:r>
        <w:rPr>
          <w:b/>
          <w:bCs/>
          <w:color w:val="1F3864"/>
          <w:sz w:val="19"/>
          <w:szCs w:val="19"/>
        </w:rPr>
        <w:t xml:space="preserve">Date:  </w:t>
      </w:r>
      <w:r>
        <w:rPr>
          <w:color w:val="404040"/>
          <w:sz w:val="19"/>
          <w:szCs w:val="19"/>
        </w:rPr>
        <w:t xml:space="preserve">June 2026</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D9E2F3" w:val="clear"/>
            <w:tcMar>
              <w:top w:type="dxa" w:w="110"/>
              <w:left w:type="dxa" w:w="160"/>
              <w:bottom w:type="dxa" w:w="110"/>
              <w:right w:type="dxa" w:w="140"/>
            </w:tcMar>
          </w:tcPr>
          <w:p>
            <w:pPr>
              <w:spacing w:after="0" w:before="0" w:line="264"/>
            </w:pPr>
            <w:r>
              <w:rPr>
                <w:b/>
                <w:bCs/>
                <w:color w:val="1F3864"/>
              </w:rPr>
              <w:t xml:space="preserve">How to use this document. </w:t>
            </w:r>
            <w:r>
              <w:t xml:space="preserve">Walk it top to bottom: who they are (Step 1), why HydroRoot fits (Step 2), why now (Step 3), exactly who to call and how to reach them (Step 4), and the day-by-day sequence to run (Step 5). Talking points and reachability live in Step 4; the deeper question lists and objection handling live in the separate Conversation &amp; Objection Guide.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1F3864" w:val="clear"/>
            <w:tcMar>
              <w:top w:type="dxa" w:w="110"/>
              <w:left w:type="dxa" w:w="160"/>
              <w:bottom w:type="dxa" w:w="110"/>
              <w:right w:type="dxa" w:w="140"/>
            </w:tcMar>
          </w:tcPr>
          <w:p>
            <w:pPr>
              <w:spacing w:after="20"/>
            </w:pPr>
            <w:r>
              <w:rPr>
                <w:b/>
                <w:bCs/>
                <w:color w:val="FFFFFF"/>
                <w:sz w:val="22"/>
                <w:szCs w:val="22"/>
              </w:rPr>
              <w:t xml:space="preserve">STEP 1</w:t>
            </w:r>
          </w:p>
          <w:p>
            <w:r>
              <w:rPr>
                <w:b/>
                <w:bCs/>
                <w:color w:val="FFFFFF"/>
                <w:sz w:val="30"/>
                <w:szCs w:val="30"/>
              </w:rPr>
              <w:t xml:space="preserve">The Company</w:t>
            </w:r>
          </w:p>
        </w:tc>
      </w:tr>
    </w:tbl>
    <w:p>
      <w:pPr>
        <w:spacing w:after="60"/>
      </w:pPr>
      <w:r>
        <w:t xml:space="preserve"/>
      </w:r>
    </w:p>
    <w:p>
      <w:pPr>
        <w:spacing w:after="100" w:before="0" w:line="264"/>
      </w:pPr>
      <w:r>
        <w:t xml:space="preserve">T-Y Nursery, Inc. is a second-generation, family-owned wholesale container nursery headquartered in Torrance, CA. Founded in 1966 by Takashi and Kasumi Yasutake, it has grown from a 1.5-acre lot into 800+ acres across four Southern California growing grounds, today run by their son, Terry Yasutake (CEO / General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EFEFEF" w:val="clear"/>
            <w:tcMar>
              <w:top w:type="dxa" w:w="70"/>
              <w:left w:type="dxa" w:w="110"/>
              <w:bottom w:type="dxa" w:w="70"/>
              <w:right w:type="dxa" w:w="110"/>
            </w:tcMar>
            <w:vAlign w:val="center"/>
          </w:tcPr>
          <w:p>
            <w:pPr>
              <w:spacing w:after="0" w:line="252"/>
            </w:pPr>
            <w:r>
              <w:rPr>
                <w:b/>
                <w:bCs/>
                <w:sz w:val="20"/>
                <w:szCs w:val="20"/>
              </w:rPr>
              <w:t xml:space="preserve">Company</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T-Y Nursery, Inc.</w:t>
            </w:r>
          </w:p>
        </w:tc>
      </w:tr>
      <w:tr>
        <w:tc>
          <w:tcPr>
            <w:tcW w:type="dxa" w:w="26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sz w:val="20"/>
                <w:szCs w:val="20"/>
              </w:rPr>
              <w:t xml:space="preserve">What they do</w:t>
            </w:r>
          </w:p>
        </w:tc>
        <w:tc>
          <w:tcPr>
            <w:tcW w:type="dxa" w:w="67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Wholesale container grower — 700+ varieties: woody ornamentals, palms, ferns, tropicals, topiaries, ornamental grasses, fruit &amp; shade trees, succulents and drought-tolerant plants (1 gal to 36″ boxes).</w:t>
            </w:r>
          </w:p>
        </w:tc>
      </w:tr>
      <w:tr>
        <w:tc>
          <w:tcPr>
            <w:tcW w:type="dxa" w:w="2600"/>
            <w:tcBorders>
              <w:top w:val="single" w:color="BFBFBF" w:sz="1"/>
              <w:left w:val="single" w:color="BFBFBF" w:sz="1"/>
              <w:bottom w:val="single" w:color="BFBFBF" w:sz="1"/>
              <w:right w:val="single" w:color="BFBFBF" w:sz="1"/>
            </w:tcBorders>
            <w:shd w:fill="EFEFEF" w:val="clear"/>
            <w:tcMar>
              <w:top w:type="dxa" w:w="70"/>
              <w:left w:type="dxa" w:w="110"/>
              <w:bottom w:type="dxa" w:w="70"/>
              <w:right w:type="dxa" w:w="110"/>
            </w:tcMar>
            <w:vAlign w:val="center"/>
          </w:tcPr>
          <w:p>
            <w:pPr>
              <w:spacing w:after="0" w:line="252"/>
            </w:pPr>
            <w:r>
              <w:rPr>
                <w:b/>
                <w:bCs/>
                <w:sz w:val="20"/>
                <w:szCs w:val="20"/>
              </w:rPr>
              <w:t xml:space="preserve">Founded / Ownership</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1966 — family-owned, 2nd generation (Yasutake family). No PE / outside ownership found.</w:t>
            </w:r>
          </w:p>
        </w:tc>
      </w:tr>
      <w:tr>
        <w:tc>
          <w:tcPr>
            <w:tcW w:type="dxa" w:w="26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sz w:val="20"/>
                <w:szCs w:val="20"/>
              </w:rPr>
              <w:t xml:space="preserve">HQ</w:t>
            </w:r>
          </w:p>
        </w:tc>
        <w:tc>
          <w:tcPr>
            <w:tcW w:type="dxa" w:w="67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19051 Anza Ave, Torrance, CA 90503</w:t>
            </w:r>
          </w:p>
        </w:tc>
      </w:tr>
      <w:tr>
        <w:tc>
          <w:tcPr>
            <w:tcW w:type="dxa" w:w="2600"/>
            <w:tcBorders>
              <w:top w:val="single" w:color="BFBFBF" w:sz="1"/>
              <w:left w:val="single" w:color="BFBFBF" w:sz="1"/>
              <w:bottom w:val="single" w:color="BFBFBF" w:sz="1"/>
              <w:right w:val="single" w:color="BFBFBF" w:sz="1"/>
            </w:tcBorders>
            <w:shd w:fill="EFEFEF" w:val="clear"/>
            <w:tcMar>
              <w:top w:type="dxa" w:w="70"/>
              <w:left w:type="dxa" w:w="110"/>
              <w:bottom w:type="dxa" w:w="70"/>
              <w:right w:type="dxa" w:w="110"/>
            </w:tcMar>
            <w:vAlign w:val="center"/>
          </w:tcPr>
          <w:p>
            <w:pPr>
              <w:spacing w:after="0" w:line="252"/>
            </w:pPr>
            <w:r>
              <w:rPr>
                <w:b/>
                <w:bCs/>
                <w:sz w:val="20"/>
                <w:szCs w:val="20"/>
              </w:rPr>
              <w:t xml:space="preserve">4 growing grounds</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Torrance (LA Co. — HQ) · Trabuco Canyon (Orange Co.) · Pauma Valley (San Diego Co.) · Escondido (San Diego Co.)</w:t>
            </w:r>
          </w:p>
        </w:tc>
      </w:tr>
      <w:tr>
        <w:tc>
          <w:tcPr>
            <w:tcW w:type="dxa" w:w="26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sz w:val="20"/>
                <w:szCs w:val="20"/>
              </w:rPr>
              <w:t xml:space="preserve">Scale</w:t>
            </w:r>
          </w:p>
        </w:tc>
        <w:tc>
          <w:tcPr>
            <w:tcW w:type="dxa" w:w="67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800+ acres · volume grower · ships to 48 states (primary markets: OR, WA, NV, TX, CO, UT, AZ, NM)</w:t>
            </w:r>
          </w:p>
        </w:tc>
      </w:tr>
      <w:tr>
        <w:tc>
          <w:tcPr>
            <w:tcW w:type="dxa" w:w="2600"/>
            <w:tcBorders>
              <w:top w:val="single" w:color="BFBFBF" w:sz="1"/>
              <w:left w:val="single" w:color="BFBFBF" w:sz="1"/>
              <w:bottom w:val="single" w:color="BFBFBF" w:sz="1"/>
              <w:right w:val="single" w:color="BFBFBF" w:sz="1"/>
            </w:tcBorders>
            <w:shd w:fill="EFEFEF" w:val="clear"/>
            <w:tcMar>
              <w:top w:type="dxa" w:w="70"/>
              <w:left w:type="dxa" w:w="110"/>
              <w:bottom w:type="dxa" w:w="70"/>
              <w:right w:type="dxa" w:w="110"/>
            </w:tcMar>
            <w:vAlign w:val="center"/>
          </w:tcPr>
          <w:p>
            <w:pPr>
              <w:spacing w:after="0" w:line="252"/>
            </w:pPr>
            <w:r>
              <w:rPr>
                <w:b/>
                <w:bCs/>
                <w:sz w:val="20"/>
                <w:szCs w:val="20"/>
              </w:rPr>
              <w:t xml:space="preserve">Customers</w:t>
            </w:r>
          </w:p>
        </w:tc>
        <w:tc>
          <w:tcPr>
            <w:tcW w:type="dxa" w:w="67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Independent garden centers, growers, re-wholesalers, landscapers</w:t>
            </w:r>
          </w:p>
        </w:tc>
      </w:tr>
      <w:tr>
        <w:tc>
          <w:tcPr>
            <w:tcW w:type="dxa" w:w="26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sz w:val="20"/>
                <w:szCs w:val="20"/>
              </w:rPr>
              <w:t xml:space="preserve">Revenue / headcount</w:t>
            </w:r>
          </w:p>
        </w:tc>
        <w:tc>
          <w:tcPr>
            <w:tcW w:type="dxa" w:w="67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Unknown — broker estimates conflict widely ($5M–$62M; 1–320 employees). Treat budget as unconfirmed.</w:t>
            </w:r>
          </w:p>
        </w:tc>
      </w:tr>
    </w:tbl>
    <w:p>
      <w:pPr>
        <w:spacing w:after="60"/>
      </w:pPr>
      <w:r>
        <w:t xml:space="preserve"/>
      </w:r>
    </w:p>
    <w:p>
      <w:pPr>
        <w:pStyle w:val="Heading3"/>
      </w:pPr>
      <w:r>
        <w:t xml:space="preserve">Industry connections (the warm-channel gold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F54" w:sz="4"/>
              <w:left w:val="single" w:color="1F6F54" w:sz="18"/>
              <w:bottom w:val="single" w:color="1F6F54" w:sz="4"/>
              <w:right w:val="single" w:color="1F6F54" w:sz="4"/>
            </w:tcBorders>
            <w:shd w:fill="E2EFDA" w:val="clear"/>
            <w:tcMar>
              <w:top w:type="dxa" w:w="110"/>
              <w:left w:type="dxa" w:w="160"/>
              <w:bottom w:type="dxa" w:w="110"/>
              <w:right w:type="dxa" w:w="140"/>
            </w:tcMar>
          </w:tcPr>
          <w:p>
            <w:pPr>
              <w:spacing w:after="0" w:before="0" w:line="264"/>
            </w:pPr>
            <w:r>
              <w:rPr>
                <w:b/>
                <w:bCs/>
                <w:color w:val="1F6F54"/>
              </w:rPr>
              <w:t xml:space="preserve">Tomoharu Iwo — T-Y’s Production / IT Manager — is also Secretary/Treasurer of the Plant California Alliance</w:t>
            </w:r>
            <w:r>
              <w:t xml:space="preserve"> (the merged statewide nursery association, formerly CANGC / Nursery Growers). </w:t>
            </w:r>
            <w:r>
              <w:rPr>
                <w:b/>
                <w:bCs/>
              </w:rPr>
              <w:t xml:space="preserve">This is the single most important relationship fact in this report: </w:t>
            </w:r>
            <w:r>
              <w:t xml:space="preserve">T-Y’s tech/production decision-maker is an officer of the industry’s governing body, plugged into water-policy and sustainability working groups. That makes him reachable through industry channels, technically fluent, and a natural champion.</w:t>
            </w:r>
          </w:p>
        </w:tc>
      </w:tr>
    </w:tbl>
    <w:p>
      <w:pPr>
        <w:spacing w:after="40"/>
      </w:pPr>
      <w:r>
        <w:t xml:space="preserve"/>
      </w:r>
    </w:p>
    <w:p>
      <w:pPr>
        <w:spacing w:after="100" w:before="0" w:line="264"/>
      </w:pPr>
      <w:r>
        <w:rPr>
          <w:b/>
          <w:bCs/>
        </w:rPr>
        <w:t xml:space="preserve">Brand signal: </w:t>
      </w:r>
      <w:r>
        <w:t xml:space="preserve">T-Y actively markets a “Water Wise” line of drought-tolerant plants (agave, cactus, succulents, yucca). Water-consciousness is already part of their identity and pitch — but that’s about the plants they sell, not their own irrigation tooling. That gap is the opening.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1F3864" w:val="clear"/>
            <w:tcMar>
              <w:top w:type="dxa" w:w="110"/>
              <w:left w:type="dxa" w:w="160"/>
              <w:bottom w:type="dxa" w:w="110"/>
              <w:right w:type="dxa" w:w="140"/>
            </w:tcMar>
          </w:tcPr>
          <w:p>
            <w:pPr>
              <w:spacing w:after="20"/>
            </w:pPr>
            <w:r>
              <w:rPr>
                <w:b/>
                <w:bCs/>
                <w:color w:val="FFFFFF"/>
                <w:sz w:val="22"/>
                <w:szCs w:val="22"/>
              </w:rPr>
              <w:t xml:space="preserve">STEP 2</w:t>
            </w:r>
          </w:p>
          <w:p>
            <w:r>
              <w:rPr>
                <w:b/>
                <w:bCs/>
                <w:color w:val="FFFFFF"/>
                <w:sz w:val="30"/>
                <w:szCs w:val="30"/>
              </w:rPr>
              <w:t xml:space="preserve">Which Link4 Product Fits &amp; Why</w:t>
            </w:r>
          </w:p>
        </w:tc>
      </w:tr>
    </w:tbl>
    <w:p>
      <w:pPr>
        <w:spacing w:after="60"/>
      </w:pPr>
      <w:r>
        <w:t xml:space="preserve"/>
      </w:r>
    </w:p>
    <w:p>
      <w:pPr>
        <w:spacing w:after="100" w:before="0" w:line="264"/>
      </w:pPr>
      <w:r>
        <w:rPr>
          <w:b/>
          <w:bCs/>
          <w:color w:val="1F3864"/>
        </w:rPr>
        <w:t xml:space="preserve">Product: </w:t>
      </w:r>
      <w:r>
        <w:t xml:space="preserve">HydroRoot smart irrigation controllers.</w:t>
      </w:r>
    </w:p>
    <w:p>
      <w:pPr>
        <w:spacing w:after="100" w:before="0" w:line="264"/>
      </w:pPr>
      <w:r>
        <w:rPr>
          <w:b/>
          <w:bCs/>
          <w:color w:val="1F3864"/>
        </w:rPr>
        <w:t xml:space="preserve">Why it fits: </w:t>
      </w:r>
      <w:r>
        <w:t xml:space="preserve">T-Y is a textbook HydroRoot end user — a large, multi-site commercial grower watering container stock by zone across 800 acres, in a state that is tightening water rules every year, with a brand already built on water-wise plants. They are exactly who HydroRoot is built for.</w:t>
      </w:r>
    </w:p>
    <w:p>
      <w:pPr>
        <w:pStyle w:val="Heading3"/>
      </w:pPr>
      <w:r>
        <w:t xml:space="preserve">Fit factors</w:t>
      </w:r>
    </w:p>
    <w:p>
      <w:pPr>
        <w:pStyle w:val="ListParagraph"/>
        <w:numPr>
          <w:ilvl w:val="0"/>
          <w:numId w:val="2"/>
        </w:numPr>
        <w:spacing w:after="60" w:line="264"/>
      </w:pPr>
      <w:r>
        <w:rPr>
          <w:b/>
          <w:bCs/>
        </w:rPr>
        <w:t xml:space="preserve">Scale &amp; dispersion: </w:t>
      </w:r>
      <w:r>
        <w:t xml:space="preserve">800+ acres over four ranches an hour-plus apart. Remote monitoring and central visibility turn a four-site drive problem into a phone-screen problem.</w:t>
      </w:r>
    </w:p>
    <w:p>
      <w:pPr>
        <w:pStyle w:val="ListParagraph"/>
        <w:numPr>
          <w:ilvl w:val="0"/>
          <w:numId w:val="2"/>
        </w:numPr>
        <w:spacing w:after="60" w:line="264"/>
      </w:pPr>
      <w:r>
        <w:rPr>
          <w:b/>
          <w:bCs/>
        </w:rPr>
        <w:t xml:space="preserve">Water economics: </w:t>
      </w:r>
      <w:r>
        <w:t xml:space="preserve">HydroRoot’s 20–30% water savings lands hard in Southern California, where water cost and supply are a permanent operating concern.</w:t>
      </w:r>
    </w:p>
    <w:p>
      <w:pPr>
        <w:pStyle w:val="ListParagraph"/>
        <w:numPr>
          <w:ilvl w:val="0"/>
          <w:numId w:val="2"/>
        </w:numPr>
        <w:spacing w:after="60" w:line="264"/>
      </w:pPr>
      <w:r>
        <w:rPr>
          <w:b/>
          <w:bCs/>
        </w:rPr>
        <w:t xml:space="preserve">Low friction to try: </w:t>
      </w:r>
      <w:r>
        <w:t xml:space="preserve">~10-minute install per controller. For a skeptical family operation, a single-zone pilot is cheap, fast, and low-risk — perfect for a ‘let’s just try it on one block’ close.</w:t>
      </w:r>
    </w:p>
    <w:p>
      <w:pPr>
        <w:pStyle w:val="ListParagraph"/>
        <w:numPr>
          <w:ilvl w:val="0"/>
          <w:numId w:val="2"/>
        </w:numPr>
        <w:spacing w:after="60" w:line="264"/>
      </w:pPr>
      <w:r>
        <w:rPr>
          <w:b/>
          <w:bCs/>
        </w:rPr>
        <w:t xml:space="preserve">Local support: </w:t>
      </w:r>
      <w:r>
        <w:t xml:space="preserve">Link4 is in Anaheim — 20–40 minutes from T-Y’s Torrance HQ and Trabuco Canyon yard. US-based, same-day-drivable support beats overseas/complex platforms.</w:t>
      </w:r>
    </w:p>
    <w:p>
      <w:pPr>
        <w:pStyle w:val="ListParagraph"/>
        <w:numPr>
          <w:ilvl w:val="0"/>
          <w:numId w:val="2"/>
        </w:numPr>
        <w:spacing w:after="60" w:line="264"/>
      </w:pPr>
      <w:r>
        <w:rPr>
          <w:b/>
          <w:bCs/>
        </w:rPr>
        <w:t xml:space="preserve">Regulatory tailwind: </w:t>
      </w:r>
      <w:r>
        <w:t xml:space="preserve">California now mandates Irrigation &amp; Nitrogen Management Plans for growers. HydroRoot’s automatic water-use logging makes that paperwork easier — a compliance angle, not just a savings angle.</w:t>
      </w:r>
    </w:p>
    <w:p>
      <w:pPr>
        <w:spacing w:after="60"/>
      </w:pPr>
      <w:r>
        <w:t xml:space="preserve"/>
      </w:r>
    </w:p>
    <w:p>
      <w:pPr>
        <w:pStyle w:val="Heading3"/>
      </w:pPr>
      <w:r>
        <w:t xml:space="preserve">Reference positioning (say this — it’s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D9E2F3" w:val="clear"/>
            <w:tcMar>
              <w:top w:type="dxa" w:w="110"/>
              <w:left w:type="dxa" w:w="160"/>
              <w:bottom w:type="dxa" w:w="110"/>
              <w:right w:type="dxa" w:w="140"/>
            </w:tcMar>
          </w:tcPr>
          <w:p>
            <w:pPr>
              <w:spacing w:after="60" w:before="0" w:line="264"/>
            </w:pPr>
            <w:r>
              <w:rPr>
                <w:b/>
                <w:bCs/>
                <w:color w:val="1F3864"/>
              </w:rPr>
              <w:t xml:space="preserve">Lead with: </w:t>
            </w:r>
            <w:r>
              <w:t xml:space="preserve">“We work with commercial growers running similar container and zone-based irrigation under greenhouse environments.” That is accurate — Link4’s greenhouse customers are commercial growers, and the water/zone-management overlap with a container nursery is heavy.</w:t>
            </w:r>
          </w:p>
          <w:p>
            <w:pPr>
              <w:spacing w:after="0" w:before="0" w:line="264"/>
            </w:pPr>
            <w:r>
              <w:rPr>
                <w:b/>
                <w:bCs/>
                <w:color w:val="1F3864"/>
              </w:rPr>
              <w:t xml:space="preserve">First-partner angle: </w:t>
            </w:r>
            <w:r>
              <w:t xml:space="preserve">If T-Y would be Link4’s first outdoor-nursery reference, position that as an advantage — preferential pricing, direct engineering attention, and co-marketing. Do NOT claim a nursery-specific track record we don’t have. “Growers running similar setups” is the honest line.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1F3864" w:val="clear"/>
            <w:tcMar>
              <w:top w:type="dxa" w:w="110"/>
              <w:left w:type="dxa" w:w="160"/>
              <w:bottom w:type="dxa" w:w="110"/>
              <w:right w:type="dxa" w:w="140"/>
            </w:tcMar>
          </w:tcPr>
          <w:p>
            <w:pPr>
              <w:spacing w:after="20"/>
            </w:pPr>
            <w:r>
              <w:rPr>
                <w:b/>
                <w:bCs/>
                <w:color w:val="FFFFFF"/>
                <w:sz w:val="22"/>
                <w:szCs w:val="22"/>
              </w:rPr>
              <w:t xml:space="preserve">STEP 3</w:t>
            </w:r>
          </w:p>
          <w:p>
            <w:r>
              <w:rPr>
                <w:b/>
                <w:bCs/>
                <w:color w:val="FFFFFF"/>
                <w:sz w:val="30"/>
                <w:szCs w:val="30"/>
              </w:rPr>
              <w:t xml:space="preserve">Pain Points &amp; Why Now</w:t>
            </w:r>
          </w:p>
        </w:tc>
      </w:tr>
    </w:tbl>
    <w:p>
      <w:pPr>
        <w:spacing w:after="60"/>
      </w:pPr>
      <w:r>
        <w:t xml:space="preserve"/>
      </w:r>
    </w:p>
    <w:p>
      <w:pPr>
        <w:spacing w:after="30" w:before="0" w:line="264"/>
      </w:pPr>
      <w:r>
        <w:rPr>
          <w:b/>
          <w:bCs/>
          <w:color w:val="1F3864"/>
          <w:sz w:val="23"/>
          <w:szCs w:val="23"/>
        </w:rPr>
        <w:t xml:space="preserve">1. The new compliance paperwork is manual</w:t>
      </w:r>
    </w:p>
    <w:p>
      <w:pPr>
        <w:spacing w:after="30" w:before="0" w:line="264"/>
      </w:pPr>
      <w:r>
        <w:rPr>
          <w:b/>
          <w:bCs/>
        </w:rPr>
        <w:t xml:space="preserve">What’s going on: </w:t>
      </w:r>
      <w:r>
        <w:t xml:space="preserve">California’s State Water Resources Control Board now requires growers to complete Irrigation &amp; Nitrogen Management Plans, documenting water and nutrient inputs/outputs. Logging that by hand across 800 acres and four sites is a real burden.</w:t>
      </w:r>
    </w:p>
    <w:p>
      <w:pPr>
        <w:spacing w:after="30" w:before="0" w:line="264"/>
      </w:pPr>
      <w:r>
        <w:rPr>
          <w:b/>
          <w:bCs/>
          <w:color w:val="1F6F54"/>
        </w:rPr>
        <w:t xml:space="preserve">HydroRoot answer: </w:t>
      </w:r>
      <w:r>
        <w:t xml:space="preserve">HydroRoot logs water use automatically — turning a reporting chore into exportable data.</w:t>
      </w:r>
    </w:p>
    <w:p>
      <w:pPr>
        <w:spacing w:after="120" w:before="0" w:line="264"/>
      </w:pPr>
      <w:r>
        <w:rPr>
          <w:b/>
          <w:bCs/>
          <w:i/>
          <w:iCs/>
        </w:rPr>
        <w:t xml:space="preserve">Evidence: </w:t>
      </w:r>
      <w:r>
        <w:rPr>
          <w:i/>
          <w:iCs/>
          <w:color w:val="595959"/>
        </w:rPr>
        <w:t xml:space="preserve">✅ Regulation confirmed · 💡 Their manual process inferred</w:t>
      </w:r>
    </w:p>
    <w:p>
      <w:pPr>
        <w:spacing w:after="30" w:before="0" w:line="264"/>
      </w:pPr>
      <w:r>
        <w:rPr>
          <w:b/>
          <w:bCs/>
          <w:color w:val="1F3864"/>
          <w:sz w:val="23"/>
          <w:szCs w:val="23"/>
        </w:rPr>
        <w:t xml:space="preserve">2. Water cost and supply keep climbing</w:t>
      </w:r>
    </w:p>
    <w:p>
      <w:pPr>
        <w:spacing w:after="30" w:before="0" w:line="264"/>
      </w:pPr>
      <w:r>
        <w:rPr>
          <w:b/>
          <w:bCs/>
        </w:rPr>
        <w:t xml:space="preserve">What’s going on: </w:t>
      </w:r>
      <w:r>
        <w:t xml:space="preserve">SoCal growers face rising water rates, SGMA groundwater limits, and recurring drought cycles. Conservation has shifted from ‘nice to have’ to an economic survival question for California growers.</w:t>
      </w:r>
    </w:p>
    <w:p>
      <w:pPr>
        <w:spacing w:after="30" w:before="0" w:line="264"/>
      </w:pPr>
      <w:r>
        <w:rPr>
          <w:b/>
          <w:bCs/>
          <w:color w:val="1F6F54"/>
        </w:rPr>
        <w:t xml:space="preserve">HydroRoot answer: </w:t>
      </w:r>
      <w:r>
        <w:t xml:space="preserve">20–30% water savings — a direct, measurable line-item reduction.</w:t>
      </w:r>
    </w:p>
    <w:p>
      <w:pPr>
        <w:spacing w:after="120" w:before="0" w:line="264"/>
      </w:pPr>
      <w:r>
        <w:rPr>
          <w:b/>
          <w:bCs/>
          <w:i/>
          <w:iCs/>
        </w:rPr>
        <w:t xml:space="preserve">Evidence: </w:t>
      </w:r>
      <w:r>
        <w:rPr>
          <w:i/>
          <w:iCs/>
          <w:color w:val="595959"/>
        </w:rPr>
        <w:t xml:space="preserve">✅ Industry context confirmed · 💡 Their exposure inferred</w:t>
      </w:r>
    </w:p>
    <w:p>
      <w:pPr>
        <w:spacing w:after="30" w:before="0" w:line="264"/>
      </w:pPr>
      <w:r>
        <w:rPr>
          <w:b/>
          <w:bCs/>
          <w:color w:val="1F3864"/>
          <w:sz w:val="23"/>
          <w:szCs w:val="23"/>
        </w:rPr>
        <w:t xml:space="preserve">3. Irrigation is managed on-site, ranch by ranch</w:t>
      </w:r>
    </w:p>
    <w:p>
      <w:pPr>
        <w:spacing w:after="30" w:before="0" w:line="264"/>
      </w:pPr>
      <w:r>
        <w:rPr>
          <w:b/>
          <w:bCs/>
        </w:rPr>
        <w:t xml:space="preserve">What’s going on: </w:t>
      </w:r>
      <w:r>
        <w:t xml:space="preserve">With four dispersed growing grounds, watering decisions and adjustments almost certainly happen locally, with no central remote view. That means truck-rolls, inconsistent scheduling, and pain when something fails on a hot day.</w:t>
      </w:r>
    </w:p>
    <w:p>
      <w:pPr>
        <w:spacing w:after="30" w:before="0" w:line="264"/>
      </w:pPr>
      <w:r>
        <w:rPr>
          <w:b/>
          <w:bCs/>
          <w:color w:val="1F6F54"/>
        </w:rPr>
        <w:t xml:space="preserve">HydroRoot answer: </w:t>
      </w:r>
      <w:r>
        <w:t xml:space="preserve">Remote monitoring + central control across all four sites from one screen; fewer drives, faster fault response.</w:t>
      </w:r>
    </w:p>
    <w:p>
      <w:pPr>
        <w:spacing w:after="120" w:before="0" w:line="264"/>
      </w:pPr>
      <w:r>
        <w:rPr>
          <w:b/>
          <w:bCs/>
          <w:i/>
          <w:iCs/>
        </w:rPr>
        <w:t xml:space="preserve">Evidence: </w:t>
      </w:r>
      <w:r>
        <w:rPr>
          <w:i/>
          <w:iCs/>
          <w:color w:val="595959"/>
        </w:rPr>
        <w:t xml:space="preserve">💡 Inferred from structure · ❓ Current system unknown (discovery needed)</w:t>
      </w:r>
    </w:p>
    <w:p>
      <w:pPr>
        <w:spacing w:after="30" w:before="0" w:line="264"/>
      </w:pPr>
      <w:r>
        <w:rPr>
          <w:b/>
          <w:bCs/>
          <w:color w:val="1F3864"/>
          <w:sz w:val="23"/>
          <w:szCs w:val="23"/>
        </w:rPr>
        <w:t xml:space="preserve">4. Overwatering drives runoff — now a regulated concern</w:t>
      </w:r>
    </w:p>
    <w:p>
      <w:pPr>
        <w:spacing w:after="30" w:before="0" w:line="264"/>
      </w:pPr>
      <w:r>
        <w:rPr>
          <w:b/>
          <w:bCs/>
        </w:rPr>
        <w:t xml:space="preserve">What’s going on: </w:t>
      </w:r>
      <w:r>
        <w:t xml:space="preserve">Manual/timer watering tends to overwater, and runoff carries nutrients off-site. Nutrient runoff is exactly what the new management-plan rules target, so it’s both a cost and a compliance exposure.</w:t>
      </w:r>
    </w:p>
    <w:p>
      <w:pPr>
        <w:spacing w:after="30" w:before="0" w:line="264"/>
      </w:pPr>
      <w:r>
        <w:rPr>
          <w:b/>
          <w:bCs/>
          <w:color w:val="1F6F54"/>
        </w:rPr>
        <w:t xml:space="preserve">HydroRoot answer: </w:t>
      </w:r>
      <w:r>
        <w:t xml:space="preserve">Precision zone control reduces overwatering, runoff, and nutrient leaching.</w:t>
      </w:r>
    </w:p>
    <w:p>
      <w:pPr>
        <w:spacing w:after="120" w:before="0" w:line="264"/>
      </w:pPr>
      <w:r>
        <w:rPr>
          <w:b/>
          <w:bCs/>
          <w:i/>
          <w:iCs/>
        </w:rPr>
        <w:t xml:space="preserve">Evidence: </w:t>
      </w:r>
      <w:r>
        <w:rPr>
          <w:i/>
          <w:iCs/>
          <w:color w:val="595959"/>
        </w:rPr>
        <w:t xml:space="preserve">✅ Runoff is a regulated/BMP focus · 💡 Their exposure inferred</w:t>
      </w:r>
    </w:p>
    <w:p>
      <w:pPr>
        <w:spacing w:after="30" w:before="0" w:line="264"/>
      </w:pPr>
      <w:r>
        <w:rPr>
          <w:b/>
          <w:bCs/>
          <w:color w:val="1F3864"/>
          <w:sz w:val="23"/>
          <w:szCs w:val="23"/>
        </w:rPr>
        <w:t xml:space="preserve">5. ‘Water Wise’ brand, manual watering reality</w:t>
      </w:r>
    </w:p>
    <w:p>
      <w:pPr>
        <w:spacing w:after="30" w:before="0" w:line="264"/>
      </w:pPr>
      <w:r>
        <w:rPr>
          <w:b/>
          <w:bCs/>
        </w:rPr>
        <w:t xml:space="preserve">What’s going on: </w:t>
      </w:r>
      <w:r>
        <w:t xml:space="preserve">T-Y sells itself on water-wise plants but (visibly) hasn’t automated the watering side. Closing that gap lets them walk the talk — and smart irrigation can qualify for state efficiency funding (e.g., SWEEP).</w:t>
      </w:r>
    </w:p>
    <w:p>
      <w:pPr>
        <w:spacing w:after="30" w:before="0" w:line="264"/>
      </w:pPr>
      <w:r>
        <w:rPr>
          <w:b/>
          <w:bCs/>
          <w:color w:val="1F6F54"/>
        </w:rPr>
        <w:t xml:space="preserve">HydroRoot answer: </w:t>
      </w:r>
      <w:r>
        <w:t xml:space="preserve">HydroRoot makes the operation match the brand, and may open grant/incentive funding to offset cost.</w:t>
      </w:r>
    </w:p>
    <w:p>
      <w:pPr>
        <w:spacing w:after="120" w:before="0" w:line="264"/>
      </w:pPr>
      <w:r>
        <w:rPr>
          <w:b/>
          <w:bCs/>
          <w:i/>
          <w:iCs/>
        </w:rPr>
        <w:t xml:space="preserve">Evidence: </w:t>
      </w:r>
      <w:r>
        <w:rPr>
          <w:i/>
          <w:iCs/>
          <w:color w:val="595959"/>
        </w:rPr>
        <w:t xml:space="preserve">✅ ‘Water Wise’ brand confirmed · 💡 SWEEP eligibility to verify</w:t>
      </w:r>
    </w:p>
    <w:p>
      <w:pPr>
        <w:spacing w:after="40"/>
      </w:pPr>
      <w:r>
        <w:t xml:space="preserve"/>
      </w:r>
    </w:p>
    <w:p>
      <w:pPr>
        <w:pStyle w:val="Heading3"/>
      </w:pPr>
      <w:r>
        <w:t xml:space="preserve">Why now — buying-intent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9000" w:sz="4"/>
              <w:left w:val="single" w:color="BF9000" w:sz="18"/>
              <w:bottom w:val="single" w:color="BF9000" w:sz="4"/>
              <w:right w:val="single" w:color="BF9000" w:sz="4"/>
            </w:tcBorders>
            <w:shd w:fill="FFF2CC" w:val="clear"/>
            <w:tcMar>
              <w:top w:type="dxa" w:w="110"/>
              <w:left w:type="dxa" w:w="160"/>
              <w:bottom w:type="dxa" w:w="110"/>
              <w:right w:type="dxa" w:w="140"/>
            </w:tcMar>
          </w:tcPr>
          <w:p>
            <w:pPr>
              <w:spacing w:after="60" w:before="0" w:line="264"/>
            </w:pPr>
            <w:r>
              <w:rPr>
                <w:b/>
                <w:bCs/>
                <w:color w:val="1F3864"/>
              </w:rPr>
              <w:t xml:space="preserve">Intent score: ~13 (Medium by the standard rubric) — but read the caveat. </w:t>
            </w:r>
            <w:r>
              <w:t xml:space="preserve">The scoring table is weighted for OEM/manufacturer targets (PE ownership, acquisitions, OEM infrastructure), none of which apply to a family-owned end user. On the factors that DO apply, T-Y scores well: no smart-irrigation/IoT in current operations (+4), customer/operation profile is a bullseye for HydroRoot (+4), active regulatory change driving water monitoring (+3), and industry-association/trade-show presence (+2).</w:t>
            </w:r>
          </w:p>
          <w:p>
            <w:pPr>
              <w:spacing w:after="0" w:before="0" w:line="264"/>
            </w:pPr>
            <w:r>
              <w:rPr>
                <w:b/>
                <w:bCs/>
                <w:color w:val="1F6F54"/>
              </w:rPr>
              <w:t xml:space="preserve">Bottom line: treat this as a Medium-Strong, high-priority local target. </w:t>
            </w:r>
            <w:r>
              <w:t xml:space="preserve">The number understates it; the qualitative fit (perfect ICP, regulatory tailwind, water-first brand, 40-minute drive, association tie) is strong. Timing urgency 3/5 — no single trigger event, but it’s peak irrigation season (summer) so water is top of mind right now.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1F3864" w:val="clear"/>
            <w:tcMar>
              <w:top w:type="dxa" w:w="110"/>
              <w:left w:type="dxa" w:w="160"/>
              <w:bottom w:type="dxa" w:w="110"/>
              <w:right w:type="dxa" w:w="140"/>
            </w:tcMar>
          </w:tcPr>
          <w:p>
            <w:pPr>
              <w:spacing w:after="20"/>
            </w:pPr>
            <w:r>
              <w:rPr>
                <w:b/>
                <w:bCs/>
                <w:color w:val="FFFFFF"/>
                <w:sz w:val="22"/>
                <w:szCs w:val="22"/>
              </w:rPr>
              <w:t xml:space="preserve">STEP 4</w:t>
            </w:r>
          </w:p>
          <w:p>
            <w:r>
              <w:rPr>
                <w:b/>
                <w:bCs/>
                <w:color w:val="FFFFFF"/>
                <w:sz w:val="30"/>
                <w:szCs w:val="30"/>
              </w:rPr>
              <w:t xml:space="preserve">Who We Contact &amp; How</w:t>
            </w:r>
          </w:p>
        </w:tc>
      </w:tr>
    </w:tbl>
    <w:p>
      <w:pPr>
        <w:spacing w:after="60"/>
      </w:pPr>
      <w:r>
        <w:t xml:space="preserve"/>
      </w:r>
    </w:p>
    <w:p>
      <w:pPr>
        <w:spacing w:after="100" w:before="0" w:line="264"/>
      </w:pPr>
      <w:r>
        <w:t xml:space="preserve">Four contacts matter. Iwo is the entry point (technical + champion + association officer), Watson is the daily water-pain owner, Terry is the decision-maker, and Capulong is the process owner for onboarding. Reach-by-channel and the 3 critical questions per person are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D9E2F3" w:val="clear"/>
            <w:tcMar>
              <w:top w:type="dxa" w:w="110"/>
              <w:left w:type="dxa" w:w="160"/>
              <w:bottom w:type="dxa" w:w="110"/>
              <w:right w:type="dxa" w:w="140"/>
            </w:tcMar>
          </w:tcPr>
          <w:p>
            <w:pPr>
              <w:spacing w:after="20"/>
            </w:pPr>
            <w:r>
              <w:rPr>
                <w:b/>
                <w:bCs/>
                <w:color w:val="1F3864"/>
                <w:sz w:val="26"/>
                <w:szCs w:val="26"/>
              </w:rPr>
              <w:t xml:space="preserve">Tomoharu Iwo</w:t>
            </w:r>
            <w:r>
              <w:rPr>
                <w:color w:val="404040"/>
                <w:sz w:val="21"/>
                <w:szCs w:val="21"/>
              </w:rPr>
              <w:t xml:space="preserve">   Production / IT Manager</w:t>
            </w:r>
          </w:p>
          <w:p>
            <w:pPr>
              <w:spacing w:after="0"/>
            </w:pPr>
            <w:r>
              <w:rPr>
                <w:b/>
                <w:bCs/>
                <w:color w:val="1F6F54"/>
                <w:sz w:val="18"/>
                <w:szCs w:val="18"/>
              </w:rPr>
              <w:t xml:space="preserve">START HERE · Technical Gatekeeper + Champion + Plant California Alliance Sec/Treasurer</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1"/>
              <w:left w:val="single" w:color="BFBFBF" w:sz="1"/>
              <w:bottom w:val="single" w:color="BFBFBF" w:sz="1"/>
              <w:right w:val="single" w:color="BFBFBF" w:sz="1"/>
            </w:tcBorders>
            <w:shd w:fill="EFEFEF" w:val="clear"/>
            <w:tcMar>
              <w:top w:type="dxa" w:w="70"/>
              <w:left w:type="dxa" w:w="110"/>
              <w:bottom w:type="dxa" w:w="70"/>
              <w:right w:type="dxa" w:w="110"/>
            </w:tcMar>
            <w:vAlign w:val="center"/>
          </w:tcPr>
          <w:p>
            <w:pPr>
              <w:spacing w:after="0" w:line="252"/>
            </w:pPr>
            <w:r>
              <w:rPr>
                <w:b/>
                <w:bCs/>
                <w:sz w:val="20"/>
                <w:szCs w:val="20"/>
              </w:rPr>
              <w:t xml:space="preserve">Site</w:t>
            </w:r>
          </w:p>
        </w:tc>
        <w:tc>
          <w:tcPr>
            <w:tcW w:type="dxa" w:w="7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Torrance HQ (~40 min from Anaheim)</w:t>
            </w:r>
          </w:p>
        </w:tc>
      </w:tr>
      <w:tr>
        <w:tc>
          <w:tcPr>
            <w:tcW w:type="dxa" w:w="17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sz w:val="20"/>
                <w:szCs w:val="20"/>
              </w:rPr>
              <w:t xml:space="preserve">Contact</w:t>
            </w:r>
          </w:p>
        </w:tc>
        <w:tc>
          <w:tcPr>
            <w:tcW w:type="dxa" w:w="76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tomoharu@tynursery.com (pattern — verify) · Torrance line (310) 370-2561</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Channel</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Reach</w:t>
            </w:r>
          </w:p>
        </w:tc>
        <w:tc>
          <w:tcPr>
            <w:tcW w:type="dxa" w:w="6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Notes</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In-person</w:t>
            </w:r>
          </w:p>
        </w:tc>
        <w:tc>
          <w:tcPr>
            <w:tcW w:type="dxa" w:w="11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line="252"/>
              <w:jc w:val="center"/>
            </w:pPr>
            <w:r>
              <w:rPr>
                <w:b/>
                <w:bCs/>
              </w:rPr>
              <w:t xml:space="preserve">H</w:t>
            </w:r>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Best channel. HQ is a short drive; he owns both production and IT, so he’s the one who’d evaluate a unit. Bring a physical HydroRoot.</w:t>
            </w:r>
          </w:p>
        </w:tc>
      </w:tr>
      <w:tr>
        <w:tc>
          <w:tcPr>
            <w:tcW w:type="dxa" w:w="19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Email</w:t>
            </w:r>
          </w:p>
        </w:tc>
        <w:tc>
          <w:tcPr>
            <w:tcW w:type="dxa" w:w="11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rPr>
              <w:t xml:space="preserve">M</w:t>
            </w:r>
          </w:p>
        </w:tc>
        <w:tc>
          <w:tcPr>
            <w:tcW w:type="dxa" w:w="6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As IT manager he lives in email; as an association officer he’s used to industry outreach. Pattern-based address — verify before sending.</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Cold call</w:t>
            </w:r>
          </w:p>
        </w:tc>
        <w:tc>
          <w:tcPr>
            <w:tcW w:type="dxa" w:w="11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rPr>
              <w:t xml:space="preserve">M</w:t>
            </w:r>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Reachable via Torrance main line; expect a gatekeeper. Reference the association tie to get through.</w:t>
            </w:r>
          </w:p>
        </w:tc>
      </w:tr>
      <w:tr>
        <w:tc>
          <w:tcPr>
            <w:tcW w:type="dxa" w:w="19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LinkedIn</w:t>
            </w:r>
          </w:p>
        </w:tc>
        <w:tc>
          <w:tcPr>
            <w:tcW w:type="dxa" w:w="1100"/>
            <w:tcBorders>
              <w:top w:val="single" w:color="BFBFBF" w:sz="1"/>
              <w:left w:val="single" w:color="BFBFBF" w:sz="1"/>
              <w:bottom w:val="single" w:color="BFBFBF" w:sz="1"/>
              <w:right w:val="single" w:color="BFBFBF" w:sz="1"/>
            </w:tcBorders>
            <w:shd w:fill="FCE4E4" w:val="clear"/>
            <w:tcMar>
              <w:top w:type="dxa" w:w="70"/>
              <w:left w:type="dxa" w:w="110"/>
              <w:bottom w:type="dxa" w:w="70"/>
              <w:right w:type="dxa" w:w="110"/>
            </w:tcMar>
            <w:vAlign w:val="center"/>
          </w:tcPr>
          <w:p>
            <w:pPr>
              <w:spacing w:after="0" w:line="252"/>
              <w:jc w:val="center"/>
            </w:pPr>
            <w:r>
              <w:rPr>
                <w:b/>
                <w:bCs/>
              </w:rPr>
              <w:t xml:space="preserve">L</w:t>
            </w:r>
          </w:p>
        </w:tc>
        <w:tc>
          <w:tcPr>
            <w:tcW w:type="dxa" w:w="6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Ag/nursery presence is thin even for an officer. Not worth prioritizing.</w:t>
            </w:r>
          </w:p>
        </w:tc>
      </w:tr>
    </w:tbl>
    <w:p>
      <w:pPr>
        <w:spacing w:after="20"/>
      </w:pPr>
      <w:r>
        <w:t xml:space="preserve"/>
      </w:r>
    </w:p>
    <w:p>
      <w:pPr>
        <w:spacing w:after="30" w:before="0" w:line="264"/>
      </w:pPr>
      <w:r>
        <w:rPr>
          <w:b/>
          <w:bCs/>
          <w:color w:val="1F6F54"/>
        </w:rPr>
        <w:t xml:space="preserve">Lead with: </w:t>
      </w:r>
      <w:r>
        <w:t xml:space="preserve">His Plant California Alliance role and the new state water-monitoring rules — “As someone shaping where the industry’s going on water, I wanted your read on automating irrigation across your four ranches.” Technical + peer framing, not a pitch.</w:t>
      </w:r>
    </w:p>
    <w:p>
      <w:pPr>
        <w:spacing w:after="30" w:before="0" w:line="264"/>
      </w:pPr>
      <w:r>
        <w:rPr>
          <w:b/>
          <w:bCs/>
          <w:color w:val="C00000"/>
        </w:rPr>
        <w:t xml:space="preserve">Do NOT say: </w:t>
      </w:r>
      <w:r>
        <w:t xml:space="preserve">Don’t open with price or a hard product pitch. Don’t treat him as ‘just IT’ — he’s a production decision-maker and an industry leader.</w:t>
      </w:r>
    </w:p>
    <w:p>
      <w:pPr>
        <w:spacing w:after="20" w:before="0" w:line="264"/>
      </w:pPr>
      <w:r>
        <w:rPr>
          <w:b/>
          <w:bCs/>
        </w:rPr>
        <w:t xml:space="preserve">Critical questions (max 3 — full lists in the Conversation Guide):</w:t>
      </w:r>
    </w:p>
    <w:p>
      <w:pPr>
        <w:pStyle w:val="ListParagraph"/>
        <w:numPr>
          <w:ilvl w:val="0"/>
          <w:numId w:val="2"/>
        </w:numPr>
        <w:spacing w:after="60" w:line="264"/>
      </w:pPr>
      <w:r>
        <w:t xml:space="preserve">What are you running for irrigation control across the four sites today — and how much of it is centralized vs. on-site?</w:t>
      </w:r>
    </w:p>
    <w:p>
      <w:pPr>
        <w:pStyle w:val="ListParagraph"/>
        <w:numPr>
          <w:ilvl w:val="0"/>
          <w:numId w:val="2"/>
        </w:numPr>
        <w:spacing w:after="60" w:line="264"/>
      </w:pPr>
      <w:r>
        <w:t xml:space="preserve">With the new Irrigation &amp; Nitrogen Management Plan requirements, how are you capturing water-use data right now?</w:t>
      </w:r>
    </w:p>
    <w:p>
      <w:pPr>
        <w:pStyle w:val="ListParagraph"/>
        <w:numPr>
          <w:ilvl w:val="0"/>
          <w:numId w:val="2"/>
        </w:numPr>
        <w:spacing w:after="60" w:line="264"/>
      </w:pPr>
      <w:r>
        <w:t xml:space="preserve">If we proved out 20–30% water savings on one block, who else would need to be in that conversation?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D9E2F3" w:val="clear"/>
            <w:tcMar>
              <w:top w:type="dxa" w:w="110"/>
              <w:left w:type="dxa" w:w="160"/>
              <w:bottom w:type="dxa" w:w="110"/>
              <w:right w:type="dxa" w:w="140"/>
            </w:tcMar>
          </w:tcPr>
          <w:p>
            <w:pPr>
              <w:spacing w:after="20"/>
            </w:pPr>
            <w:r>
              <w:rPr>
                <w:b/>
                <w:bCs/>
                <w:color w:val="1F3864"/>
                <w:sz w:val="26"/>
                <w:szCs w:val="26"/>
              </w:rPr>
              <w:t xml:space="preserve">Oggie Watson</w:t>
            </w:r>
            <w:r>
              <w:rPr>
                <w:color w:val="404040"/>
                <w:sz w:val="21"/>
                <w:szCs w:val="21"/>
              </w:rPr>
              <w:t xml:space="preserve">   Ambassador of Water</w:t>
            </w:r>
          </w:p>
          <w:p>
            <w:pPr>
              <w:spacing w:after="0"/>
            </w:pPr>
            <w:r>
              <w:rPr>
                <w:b/>
                <w:bCs/>
                <w:color w:val="1F6F54"/>
                <w:sz w:val="18"/>
                <w:szCs w:val="18"/>
              </w:rPr>
              <w:t xml:space="preserve">Champion · Daily Water-Pain Owner</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1"/>
              <w:left w:val="single" w:color="BFBFBF" w:sz="1"/>
              <w:bottom w:val="single" w:color="BFBFBF" w:sz="1"/>
              <w:right w:val="single" w:color="BFBFBF" w:sz="1"/>
            </w:tcBorders>
            <w:shd w:fill="EFEFEF" w:val="clear"/>
            <w:tcMar>
              <w:top w:type="dxa" w:w="70"/>
              <w:left w:type="dxa" w:w="110"/>
              <w:bottom w:type="dxa" w:w="70"/>
              <w:right w:type="dxa" w:w="110"/>
            </w:tcMar>
            <w:vAlign w:val="center"/>
          </w:tcPr>
          <w:p>
            <w:pPr>
              <w:spacing w:after="0" w:line="252"/>
            </w:pPr>
            <w:r>
              <w:rPr>
                <w:b/>
                <w:bCs/>
                <w:sz w:val="20"/>
                <w:szCs w:val="20"/>
              </w:rPr>
              <w:t xml:space="preserve">Site</w:t>
            </w:r>
          </w:p>
        </w:tc>
        <w:tc>
          <w:tcPr>
            <w:tcW w:type="dxa" w:w="7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Pauma Valley (~70 min from Anaheim)</w:t>
            </w:r>
          </w:p>
        </w:tc>
      </w:tr>
      <w:tr>
        <w:tc>
          <w:tcPr>
            <w:tcW w:type="dxa" w:w="17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sz w:val="20"/>
                <w:szCs w:val="20"/>
              </w:rPr>
              <w:t xml:space="preserve">Contact</w:t>
            </w:r>
          </w:p>
        </w:tc>
        <w:tc>
          <w:tcPr>
            <w:tcW w:type="dxa" w:w="76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Pauma Valley line (760) 742-2151 · email likely operational/low-use</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Channel</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Reach</w:t>
            </w:r>
          </w:p>
        </w:tc>
        <w:tc>
          <w:tcPr>
            <w:tcW w:type="dxa" w:w="6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Notes</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Cold call</w:t>
            </w:r>
          </w:p>
        </w:tc>
        <w:tc>
          <w:tcPr>
            <w:tcW w:type="dxa" w:w="11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line="252"/>
              <w:jc w:val="center"/>
            </w:pPr>
            <w:r>
              <w:rPr>
                <w:b/>
                <w:bCs/>
              </w:rPr>
              <w:t xml:space="preserve">H</w:t>
            </w:r>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Operational and on-site; this is the person who actually lives the watering problem. Easiest contact to get talking about water.</w:t>
            </w:r>
          </w:p>
        </w:tc>
      </w:tr>
      <w:tr>
        <w:tc>
          <w:tcPr>
            <w:tcW w:type="dxa" w:w="19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In-person</w:t>
            </w:r>
          </w:p>
        </w:tc>
        <w:tc>
          <w:tcPr>
            <w:tcW w:type="dxa" w:w="11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line="252"/>
              <w:jc w:val="center"/>
            </w:pPr>
            <w:r>
              <w:rPr>
                <w:b/>
                <w:bCs/>
              </w:rPr>
              <w:t xml:space="preserve">H</w:t>
            </w:r>
          </w:p>
        </w:tc>
        <w:tc>
          <w:tcPr>
            <w:tcW w:type="dxa" w:w="6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Would respond to a hands-on demo — but Pauma Valley is the farthest site. Combine with a Terry visit if going out there.</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Email</w:t>
            </w:r>
          </w:p>
        </w:tc>
        <w:tc>
          <w:tcPr>
            <w:tcW w:type="dxa" w:w="1100"/>
            <w:tcBorders>
              <w:top w:val="single" w:color="BFBFBF" w:sz="1"/>
              <w:left w:val="single" w:color="BFBFBF" w:sz="1"/>
              <w:bottom w:val="single" w:color="BFBFBF" w:sz="1"/>
              <w:right w:val="single" w:color="BFBFBF" w:sz="1"/>
            </w:tcBorders>
            <w:shd w:fill="FCE4E4" w:val="clear"/>
            <w:tcMar>
              <w:top w:type="dxa" w:w="70"/>
              <w:left w:type="dxa" w:w="110"/>
              <w:bottom w:type="dxa" w:w="70"/>
              <w:right w:type="dxa" w:w="110"/>
            </w:tcMar>
            <w:vAlign w:val="center"/>
          </w:tcPr>
          <w:p>
            <w:pPr>
              <w:spacing w:after="0" w:line="252"/>
              <w:jc w:val="center"/>
            </w:pPr>
            <w:r>
              <w:rPr>
                <w:b/>
                <w:bCs/>
              </w:rPr>
              <w:t xml:space="preserve">L</w:t>
            </w:r>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Operational role; email is not where he lives.</w:t>
            </w:r>
          </w:p>
        </w:tc>
      </w:tr>
      <w:tr>
        <w:tc>
          <w:tcPr>
            <w:tcW w:type="dxa" w:w="19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LinkedIn</w:t>
            </w:r>
          </w:p>
        </w:tc>
        <w:tc>
          <w:tcPr>
            <w:tcW w:type="dxa" w:w="1100"/>
            <w:tcBorders>
              <w:top w:val="single" w:color="BFBFBF" w:sz="1"/>
              <w:left w:val="single" w:color="BFBFBF" w:sz="1"/>
              <w:bottom w:val="single" w:color="BFBFBF" w:sz="1"/>
              <w:right w:val="single" w:color="BFBFBF" w:sz="1"/>
            </w:tcBorders>
            <w:shd w:fill="FCE4E4" w:val="clear"/>
            <w:tcMar>
              <w:top w:type="dxa" w:w="70"/>
              <w:left w:type="dxa" w:w="110"/>
              <w:bottom w:type="dxa" w:w="70"/>
              <w:right w:type="dxa" w:w="110"/>
            </w:tcMar>
            <w:vAlign w:val="center"/>
          </w:tcPr>
          <w:p>
            <w:pPr>
              <w:spacing w:after="0" w:line="252"/>
              <w:jc w:val="center"/>
            </w:pPr>
            <w:r>
              <w:rPr>
                <w:b/>
                <w:bCs/>
              </w:rPr>
              <w:t xml:space="preserve">L</w:t>
            </w:r>
          </w:p>
        </w:tc>
        <w:tc>
          <w:tcPr>
            <w:tcW w:type="dxa" w:w="6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Not a channel for this person.</w:t>
            </w:r>
          </w:p>
        </w:tc>
      </w:tr>
    </w:tbl>
    <w:p>
      <w:pPr>
        <w:spacing w:after="20"/>
      </w:pPr>
      <w:r>
        <w:t xml:space="preserve"/>
      </w:r>
    </w:p>
    <w:p>
      <w:pPr>
        <w:spacing w:after="30" w:before="0" w:line="264"/>
      </w:pPr>
      <w:r>
        <w:rPr>
          <w:b/>
          <w:bCs/>
          <w:color w:val="1F6F54"/>
        </w:rPr>
        <w:t xml:space="preserve">Lead with: </w:t>
      </w:r>
      <w:r>
        <w:t xml:space="preserve">His world — “With a title like Ambassador of Water, you’re the person who feels every overwater and every dry-out. What’s the most frustrating part of keeping 800 acres watered right?” Let him talk.</w:t>
      </w:r>
    </w:p>
    <w:p>
      <w:pPr>
        <w:spacing w:after="30" w:before="0" w:line="264"/>
      </w:pPr>
      <w:r>
        <w:rPr>
          <w:b/>
          <w:bCs/>
          <w:color w:val="C00000"/>
        </w:rPr>
        <w:t xml:space="preserve">Do NOT say: </w:t>
      </w:r>
      <w:r>
        <w:t xml:space="preserve">Don’t talk ROI, capital, or compliance — that’s not his lane and it’ll fall flat. Don’t pitch; ask.</w:t>
      </w:r>
    </w:p>
    <w:p>
      <w:pPr>
        <w:spacing w:after="20" w:before="0" w:line="264"/>
      </w:pPr>
      <w:r>
        <w:rPr>
          <w:b/>
          <w:bCs/>
        </w:rPr>
        <w:t xml:space="preserve">Critical questions (max 3 — full lists in the Conversation Guide):</w:t>
      </w:r>
    </w:p>
    <w:p>
      <w:pPr>
        <w:pStyle w:val="ListParagraph"/>
        <w:numPr>
          <w:ilvl w:val="0"/>
          <w:numId w:val="2"/>
        </w:numPr>
        <w:spacing w:after="60" w:line="264"/>
      </w:pPr>
      <w:r>
        <w:t xml:space="preserve">How do you decide when and how much each block gets watered today — is it feel, a schedule, sensors?</w:t>
      </w:r>
    </w:p>
    <w:p>
      <w:pPr>
        <w:pStyle w:val="ListParagraph"/>
        <w:numPr>
          <w:ilvl w:val="0"/>
          <w:numId w:val="2"/>
        </w:numPr>
        <w:spacing w:after="60" w:line="264"/>
      </w:pPr>
      <w:r>
        <w:t xml:space="preserve">When something goes wrong on a hot day, how fast do you find out, and how fast can you fix it?</w:t>
      </w:r>
    </w:p>
    <w:p>
      <w:pPr>
        <w:pStyle w:val="ListParagraph"/>
        <w:numPr>
          <w:ilvl w:val="0"/>
          <w:numId w:val="2"/>
        </w:numPr>
        <w:spacing w:after="60" w:line="264"/>
      </w:pPr>
      <w:r>
        <w:t xml:space="preserve">If you could see and adjust every zone from your phone, what would that change for your day?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D9E2F3" w:val="clear"/>
            <w:tcMar>
              <w:top w:type="dxa" w:w="110"/>
              <w:left w:type="dxa" w:w="160"/>
              <w:bottom w:type="dxa" w:w="110"/>
              <w:right w:type="dxa" w:w="140"/>
            </w:tcMar>
          </w:tcPr>
          <w:p>
            <w:pPr>
              <w:spacing w:after="20"/>
            </w:pPr>
            <w:r>
              <w:rPr>
                <w:b/>
                <w:bCs/>
                <w:color w:val="1F3864"/>
                <w:sz w:val="26"/>
                <w:szCs w:val="26"/>
              </w:rPr>
              <w:t xml:space="preserve">Terry Yasutake</w:t>
            </w:r>
            <w:r>
              <w:rPr>
                <w:color w:val="404040"/>
                <w:sz w:val="21"/>
                <w:szCs w:val="21"/>
              </w:rPr>
              <w:t xml:space="preserve">   CEO / General Manager</w:t>
            </w:r>
          </w:p>
          <w:p>
            <w:pPr>
              <w:spacing w:after="0"/>
            </w:pPr>
            <w:r>
              <w:rPr>
                <w:b/>
                <w:bCs/>
                <w:color w:val="1F6F54"/>
                <w:sz w:val="18"/>
                <w:szCs w:val="18"/>
              </w:rPr>
              <w:t xml:space="preserve">Decision Maker (final yes) · approach warm, not cold</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1"/>
              <w:left w:val="single" w:color="BFBFBF" w:sz="1"/>
              <w:bottom w:val="single" w:color="BFBFBF" w:sz="1"/>
              <w:right w:val="single" w:color="BFBFBF" w:sz="1"/>
            </w:tcBorders>
            <w:shd w:fill="EFEFEF" w:val="clear"/>
            <w:tcMar>
              <w:top w:type="dxa" w:w="70"/>
              <w:left w:type="dxa" w:w="110"/>
              <w:bottom w:type="dxa" w:w="70"/>
              <w:right w:type="dxa" w:w="110"/>
            </w:tcMar>
            <w:vAlign w:val="center"/>
          </w:tcPr>
          <w:p>
            <w:pPr>
              <w:spacing w:after="0" w:line="252"/>
            </w:pPr>
            <w:r>
              <w:rPr>
                <w:b/>
                <w:bCs/>
                <w:sz w:val="20"/>
                <w:szCs w:val="20"/>
              </w:rPr>
              <w:t xml:space="preserve">Site</w:t>
            </w:r>
          </w:p>
        </w:tc>
        <w:tc>
          <w:tcPr>
            <w:tcW w:type="dxa" w:w="7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Pauma Valley (~70 min from Anaheim)</w:t>
            </w:r>
          </w:p>
        </w:tc>
      </w:tr>
      <w:tr>
        <w:tc>
          <w:tcPr>
            <w:tcW w:type="dxa" w:w="17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sz w:val="20"/>
                <w:szCs w:val="20"/>
              </w:rPr>
              <w:t xml:space="preserve">Contact</w:t>
            </w:r>
          </w:p>
        </w:tc>
        <w:tc>
          <w:tcPr>
            <w:tcW w:type="dxa" w:w="76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terry@tynursery.com (pattern — verify) · (310) 370-2561 / (760) 742-2151</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Channel</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Reach</w:t>
            </w:r>
          </w:p>
        </w:tc>
        <w:tc>
          <w:tcPr>
            <w:tcW w:type="dxa" w:w="6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Notes</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Warm intro</w:t>
            </w:r>
          </w:p>
        </w:tc>
        <w:tc>
          <w:tcPr>
            <w:tcW w:type="dxa" w:w="1100"/>
            <w:tcBorders>
              <w:top w:val="single" w:color="BFBFBF" w:sz="1"/>
              <w:left w:val="single" w:color="BFBFBF" w:sz="1"/>
              <w:bottom w:val="single" w:color="BFBFBF" w:sz="1"/>
              <w:right w:val="single" w:color="BFBFBF" w:sz="1"/>
            </w:tcBorders>
            <w:shd w:fill="E2EFDA" w:val="clear"/>
            <w:tcMar>
              <w:top w:type="dxa" w:w="70"/>
              <w:left w:type="dxa" w:w="110"/>
              <w:bottom w:type="dxa" w:w="70"/>
              <w:right w:type="dxa" w:w="110"/>
            </w:tcMar>
            <w:vAlign w:val="center"/>
          </w:tcPr>
          <w:p>
            <w:pPr>
              <w:spacing w:after="0" w:line="252"/>
              <w:jc w:val="center"/>
            </w:pPr>
            <w:r>
              <w:rPr>
                <w:b/>
                <w:bCs/>
              </w:rPr>
              <w:t xml:space="preserve">H</w:t>
            </w:r>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Best path: introduced by Iwo or surfaced after Watson buy-in. He’s relationship-driven — a warm hand-off beats any cold touch.</w:t>
            </w:r>
          </w:p>
        </w:tc>
      </w:tr>
      <w:tr>
        <w:tc>
          <w:tcPr>
            <w:tcW w:type="dxa" w:w="19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In-person</w:t>
            </w:r>
          </w:p>
        </w:tc>
        <w:tc>
          <w:tcPr>
            <w:tcW w:type="dxa" w:w="11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rPr>
              <w:t xml:space="preserve">M</w:t>
            </w:r>
          </w:p>
        </w:tc>
        <w:tc>
          <w:tcPr>
            <w:tcW w:type="dxa" w:w="6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He runs on respect and word-of-mouth; a face-to-face at Pauma carries weight, but it’s the farthest site.</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Cold call</w:t>
            </w:r>
          </w:p>
        </w:tc>
        <w:tc>
          <w:tcPr>
            <w:tcW w:type="dxa" w:w="11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rPr>
              <w:t xml:space="preserve">M</w:t>
            </w:r>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Has a reachable line but is an owner-operator often in the field; gatekeeper likely.</w:t>
            </w:r>
          </w:p>
        </w:tc>
      </w:tr>
      <w:tr>
        <w:tc>
          <w:tcPr>
            <w:tcW w:type="dxa" w:w="19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Email</w:t>
            </w:r>
          </w:p>
        </w:tc>
        <w:tc>
          <w:tcPr>
            <w:tcW w:type="dxa" w:w="11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rPr>
              <w:t xml:space="preserve">M</w:t>
            </w:r>
          </w:p>
        </w:tc>
        <w:tc>
          <w:tcPr>
            <w:tcW w:type="dxa" w:w="6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Small family company — he may read his own email, but won’t act on a cold one. Use only after a warm touch.</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LinkedIn</w:t>
            </w:r>
          </w:p>
        </w:tc>
        <w:tc>
          <w:tcPr>
            <w:tcW w:type="dxa" w:w="1100"/>
            <w:tcBorders>
              <w:top w:val="single" w:color="BFBFBF" w:sz="1"/>
              <w:left w:val="single" w:color="BFBFBF" w:sz="1"/>
              <w:bottom w:val="single" w:color="BFBFBF" w:sz="1"/>
              <w:right w:val="single" w:color="BFBFBF" w:sz="1"/>
            </w:tcBorders>
            <w:shd w:fill="FCE4E4" w:val="clear"/>
            <w:tcMar>
              <w:top w:type="dxa" w:w="70"/>
              <w:left w:type="dxa" w:w="110"/>
              <w:bottom w:type="dxa" w:w="70"/>
              <w:right w:type="dxa" w:w="110"/>
            </w:tcMar>
            <w:vAlign w:val="center"/>
          </w:tcPr>
          <w:p>
            <w:pPr>
              <w:spacing w:after="0" w:line="252"/>
              <w:jc w:val="center"/>
            </w:pPr>
            <w:r>
              <w:rPr>
                <w:b/>
                <w:bCs/>
              </w:rPr>
              <w:t xml:space="preserve">L</w:t>
            </w:r>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Profile exists but has ~5 connections — effectively dead. Do not rely on it.</w:t>
            </w:r>
          </w:p>
        </w:tc>
      </w:tr>
    </w:tbl>
    <w:p>
      <w:pPr>
        <w:spacing w:after="20"/>
      </w:pPr>
      <w:r>
        <w:t xml:space="preserve"/>
      </w:r>
    </w:p>
    <w:p>
      <w:pPr>
        <w:spacing w:after="30" w:before="0" w:line="264"/>
      </w:pPr>
      <w:r>
        <w:rPr>
          <w:b/>
          <w:bCs/>
          <w:color w:val="1F6F54"/>
        </w:rPr>
        <w:t xml:space="preserve">Lead with: </w:t>
      </w:r>
      <w:r>
        <w:t xml:space="preserve">Legacy and control — “You’ve built T-Y on word and relationships for almost 60 years. We help growers like you lock in water savings and stay ahead of the state’s new rules without changing how you run the place.”</w:t>
      </w:r>
    </w:p>
    <w:p>
      <w:pPr>
        <w:spacing w:after="30" w:before="0" w:line="264"/>
      </w:pPr>
      <w:r>
        <w:rPr>
          <w:b/>
          <w:bCs/>
          <w:color w:val="C00000"/>
        </w:rPr>
        <w:t xml:space="preserve">Do NOT say: </w:t>
      </w:r>
      <w:r>
        <w:t xml:space="preserve">Don’t imply the family’s way is outdated. Don’t lead with a long tech spec — lead with savings, compliance, and that his own team (Iwo) is already interested.</w:t>
      </w:r>
    </w:p>
    <w:p>
      <w:pPr>
        <w:spacing w:after="20" w:before="0" w:line="264"/>
      </w:pPr>
      <w:r>
        <w:rPr>
          <w:b/>
          <w:bCs/>
        </w:rPr>
        <w:t xml:space="preserve">Critical questions (max 3 — full lists in the Conversation Guide):</w:t>
      </w:r>
    </w:p>
    <w:p>
      <w:pPr>
        <w:pStyle w:val="ListParagraph"/>
        <w:numPr>
          <w:ilvl w:val="0"/>
          <w:numId w:val="2"/>
        </w:numPr>
        <w:spacing w:after="60" w:line="264"/>
      </w:pPr>
      <w:r>
        <w:t xml:space="preserve">What would water savings across all four ranches need to look like to be worth your time?</w:t>
      </w:r>
    </w:p>
    <w:p>
      <w:pPr>
        <w:pStyle w:val="ListParagraph"/>
        <w:numPr>
          <w:ilvl w:val="0"/>
          <w:numId w:val="2"/>
        </w:numPr>
        <w:spacing w:after="60" w:line="264"/>
      </w:pPr>
      <w:r>
        <w:t xml:space="preserve">How are you thinking about the state’s new water-monitoring requirements heading into next season?</w:t>
      </w:r>
    </w:p>
    <w:p>
      <w:pPr>
        <w:pStyle w:val="ListParagraph"/>
        <w:numPr>
          <w:ilvl w:val="0"/>
          <w:numId w:val="2"/>
        </w:numPr>
        <w:spacing w:after="60" w:line="264"/>
      </w:pPr>
      <w:r>
        <w:t xml:space="preserve">If your team tried it on one block and it worked, how do you like to make a call like this?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D9E2F3" w:val="clear"/>
            <w:tcMar>
              <w:top w:type="dxa" w:w="110"/>
              <w:left w:type="dxa" w:w="160"/>
              <w:bottom w:type="dxa" w:w="110"/>
              <w:right w:type="dxa" w:w="140"/>
            </w:tcMar>
          </w:tcPr>
          <w:p>
            <w:pPr>
              <w:spacing w:after="20"/>
            </w:pPr>
            <w:r>
              <w:rPr>
                <w:b/>
                <w:bCs/>
                <w:color w:val="1F3864"/>
                <w:sz w:val="26"/>
                <w:szCs w:val="26"/>
              </w:rPr>
              <w:t xml:space="preserve">Judith Capulong</w:t>
            </w:r>
            <w:r>
              <w:rPr>
                <w:color w:val="404040"/>
                <w:sz w:val="21"/>
                <w:szCs w:val="21"/>
              </w:rPr>
              <w:t xml:space="preserve">   Purchasing Manager</w:t>
            </w:r>
          </w:p>
          <w:p>
            <w:pPr>
              <w:spacing w:after="0"/>
            </w:pPr>
            <w:r>
              <w:rPr>
                <w:b/>
                <w:bCs/>
                <w:color w:val="1F6F54"/>
                <w:sz w:val="18"/>
                <w:szCs w:val="18"/>
              </w:rPr>
              <w:t xml:space="preserve">Process Owner · vendor onboarding — engage AFTER champion buy-in</w:t>
            </w:r>
          </w:p>
        </w:tc>
      </w:tr>
    </w:tbl>
    <w:p>
      <w:pPr>
        <w:spacing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1"/>
              <w:left w:val="single" w:color="BFBFBF" w:sz="1"/>
              <w:bottom w:val="single" w:color="BFBFBF" w:sz="1"/>
              <w:right w:val="single" w:color="BFBFBF" w:sz="1"/>
            </w:tcBorders>
            <w:shd w:fill="EFEFEF" w:val="clear"/>
            <w:tcMar>
              <w:top w:type="dxa" w:w="70"/>
              <w:left w:type="dxa" w:w="110"/>
              <w:bottom w:type="dxa" w:w="70"/>
              <w:right w:type="dxa" w:w="110"/>
            </w:tcMar>
            <w:vAlign w:val="center"/>
          </w:tcPr>
          <w:p>
            <w:pPr>
              <w:spacing w:after="0" w:line="252"/>
            </w:pPr>
            <w:r>
              <w:rPr>
                <w:b/>
                <w:bCs/>
                <w:sz w:val="20"/>
                <w:szCs w:val="20"/>
              </w:rPr>
              <w:t xml:space="preserve">Site</w:t>
            </w:r>
          </w:p>
        </w:tc>
        <w:tc>
          <w:tcPr>
            <w:tcW w:type="dxa" w:w="76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Torrance HQ (~40 min from Anaheim)</w:t>
            </w:r>
          </w:p>
        </w:tc>
      </w:tr>
      <w:tr>
        <w:tc>
          <w:tcPr>
            <w:tcW w:type="dxa" w:w="17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sz w:val="20"/>
                <w:szCs w:val="20"/>
              </w:rPr>
              <w:t xml:space="preserve">Contact</w:t>
            </w:r>
          </w:p>
        </w:tc>
        <w:tc>
          <w:tcPr>
            <w:tcW w:type="dxa" w:w="76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judith@tynursery.com (pattern — verify) · Torrance (310) 370-2561</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63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Channel</w:t>
            </w:r>
          </w:p>
        </w:tc>
        <w:tc>
          <w:tcPr>
            <w:tcW w:type="dxa" w:w="1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Reach</w:t>
            </w:r>
          </w:p>
        </w:tc>
        <w:tc>
          <w:tcPr>
            <w:tcW w:type="dxa" w:w="6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Notes</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Email</w:t>
            </w:r>
          </w:p>
        </w:tc>
        <w:tc>
          <w:tcPr>
            <w:tcW w:type="dxa" w:w="11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rPr>
              <w:t xml:space="preserve">M</w:t>
            </w:r>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Purchasing roles live in vendor email; good for paperwork, terms, PO once there’s a yes-in-principle.</w:t>
            </w:r>
          </w:p>
        </w:tc>
      </w:tr>
      <w:tr>
        <w:tc>
          <w:tcPr>
            <w:tcW w:type="dxa" w:w="19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Cold call</w:t>
            </w:r>
          </w:p>
        </w:tc>
        <w:tc>
          <w:tcPr>
            <w:tcW w:type="dxa" w:w="11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rPr>
              <w:t xml:space="preserve">M</w:t>
            </w:r>
          </w:p>
        </w:tc>
        <w:tc>
          <w:tcPr>
            <w:tcW w:type="dxa" w:w="6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Reachable at HQ, but no reason to lead here — she gates process, not the decision.</w:t>
            </w:r>
          </w:p>
        </w:tc>
      </w:tr>
      <w:t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In-person</w:t>
            </w:r>
          </w:p>
        </w:tc>
        <w:tc>
          <w:tcPr>
            <w:tcW w:type="dxa" w:w="1100"/>
            <w:tcBorders>
              <w:top w:val="single" w:color="BFBFBF" w:sz="1"/>
              <w:left w:val="single" w:color="BFBFBF" w:sz="1"/>
              <w:bottom w:val="single" w:color="BFBFBF" w:sz="1"/>
              <w:right w:val="single" w:color="BFBFBF" w:sz="1"/>
            </w:tcBorders>
            <w:shd w:fill="FFF2CC" w:val="clear"/>
            <w:tcMar>
              <w:top w:type="dxa" w:w="70"/>
              <w:left w:type="dxa" w:w="110"/>
              <w:bottom w:type="dxa" w:w="70"/>
              <w:right w:type="dxa" w:w="110"/>
            </w:tcMar>
            <w:vAlign w:val="center"/>
          </w:tcPr>
          <w:p>
            <w:pPr>
              <w:spacing w:after="0" w:line="252"/>
              <w:jc w:val="center"/>
            </w:pPr>
            <w:r>
              <w:rPr>
                <w:b/>
                <w:bCs/>
              </w:rPr>
              <w:t xml:space="preserve">M</w:t>
            </w:r>
          </w:p>
        </w:tc>
        <w:tc>
          <w:tcPr>
            <w:tcW w:type="dxa" w:w="63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At HQ; fine to meet alongside Iwo once a pilot is agreed.</w:t>
            </w:r>
          </w:p>
        </w:tc>
      </w:tr>
      <w:tr>
        <w:tc>
          <w:tcPr>
            <w:tcW w:type="dxa" w:w="19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LinkedIn</w:t>
            </w:r>
          </w:p>
        </w:tc>
        <w:tc>
          <w:tcPr>
            <w:tcW w:type="dxa" w:w="1100"/>
            <w:tcBorders>
              <w:top w:val="single" w:color="BFBFBF" w:sz="1"/>
              <w:left w:val="single" w:color="BFBFBF" w:sz="1"/>
              <w:bottom w:val="single" w:color="BFBFBF" w:sz="1"/>
              <w:right w:val="single" w:color="BFBFBF" w:sz="1"/>
            </w:tcBorders>
            <w:shd w:fill="FCE4E4" w:val="clear"/>
            <w:tcMar>
              <w:top w:type="dxa" w:w="70"/>
              <w:left w:type="dxa" w:w="110"/>
              <w:bottom w:type="dxa" w:w="70"/>
              <w:right w:type="dxa" w:w="110"/>
            </w:tcMar>
            <w:vAlign w:val="center"/>
          </w:tcPr>
          <w:p>
            <w:pPr>
              <w:spacing w:after="0" w:line="252"/>
              <w:jc w:val="center"/>
            </w:pPr>
            <w:r>
              <w:rPr>
                <w:b/>
                <w:bCs/>
              </w:rPr>
              <w:t xml:space="preserve">L</w:t>
            </w:r>
          </w:p>
        </w:tc>
        <w:tc>
          <w:tcPr>
            <w:tcW w:type="dxa" w:w="63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Not a channel for this role.</w:t>
            </w:r>
          </w:p>
        </w:tc>
      </w:tr>
    </w:tbl>
    <w:p>
      <w:pPr>
        <w:spacing w:after="20"/>
      </w:pPr>
      <w:r>
        <w:t xml:space="preserve"/>
      </w:r>
    </w:p>
    <w:p>
      <w:pPr>
        <w:spacing w:after="30" w:before="0" w:line="264"/>
      </w:pPr>
      <w:r>
        <w:rPr>
          <w:b/>
          <w:bCs/>
          <w:color w:val="1F6F54"/>
        </w:rPr>
        <w:t xml:space="preserve">Lead with: </w:t>
      </w:r>
      <w:r>
        <w:t xml:space="preserve">Smooth process — “Once Tomoharu and Terry are comfortable, I’d like to make onboarding us as a vendor as easy as possible — what do you need from us?”</w:t>
      </w:r>
    </w:p>
    <w:p>
      <w:pPr>
        <w:spacing w:after="30" w:before="0" w:line="264"/>
      </w:pPr>
      <w:r>
        <w:rPr>
          <w:b/>
          <w:bCs/>
          <w:color w:val="C00000"/>
        </w:rPr>
        <w:t xml:space="preserve">Do NOT say: </w:t>
      </w:r>
      <w:r>
        <w:t xml:space="preserve">Don’t pitch product value to her — she’s not who you sell, she’s who you make it easy for. Don’t engage her first; it stalls in procurement.</w:t>
      </w:r>
    </w:p>
    <w:p>
      <w:pPr>
        <w:spacing w:after="20" w:before="0" w:line="264"/>
      </w:pPr>
      <w:r>
        <w:rPr>
          <w:b/>
          <w:bCs/>
        </w:rPr>
        <w:t xml:space="preserve">Critical questions (max 3 — full lists in the Conversation Guide):</w:t>
      </w:r>
    </w:p>
    <w:p>
      <w:pPr>
        <w:pStyle w:val="ListParagraph"/>
        <w:numPr>
          <w:ilvl w:val="0"/>
          <w:numId w:val="2"/>
        </w:numPr>
        <w:spacing w:after="60" w:line="264"/>
      </w:pPr>
      <w:r>
        <w:t xml:space="preserve">What’s your process for bringing on a new equipment vendor — forms, insurance, terms?</w:t>
      </w:r>
    </w:p>
    <w:p>
      <w:pPr>
        <w:pStyle w:val="ListParagraph"/>
        <w:numPr>
          <w:ilvl w:val="0"/>
          <w:numId w:val="2"/>
        </w:numPr>
        <w:spacing w:after="60" w:line="264"/>
      </w:pPr>
      <w:r>
        <w:t xml:space="preserve">Who signs off on a purchase at this size once the team has decided?</w:t>
      </w:r>
    </w:p>
    <w:p>
      <w:pPr>
        <w:pStyle w:val="ListParagraph"/>
        <w:numPr>
          <w:ilvl w:val="0"/>
          <w:numId w:val="2"/>
        </w:numPr>
        <w:spacing w:after="60" w:line="264"/>
      </w:pPr>
      <w:r>
        <w:t xml:space="preserve">Do you prefer we handle a pilot as a trial or a standard PO?</w:t>
      </w:r>
    </w:p>
    <w:p>
      <w:pPr>
        <w:spacing w:after="80"/>
      </w:pPr>
      <w:r>
        <w:t xml:space="preserve"/>
      </w:r>
    </w:p>
    <w:p>
      <w:pPr>
        <w:pStyle w:val="Heading3"/>
      </w:pPr>
      <w:r>
        <w:t xml:space="preserve">Gatekeeper strategy (main lines)</w:t>
      </w:r>
    </w:p>
    <w:p>
      <w:pPr>
        <w:spacing w:after="100" w:before="0" w:line="264"/>
      </w:pPr>
      <w:r>
        <w:t xml:space="preserve">Both main lines (Torrance 310-370-2561, Pauma Valley 760-742-2151) are likely answered by office/customer-service staff (e.g., Wendy Perez handles customer service at Pauma). Frame the call as a question, never a pitch.</w:t>
      </w:r>
    </w:p>
    <w:p>
      <w:pPr>
        <w:pStyle w:val="ListParagraph"/>
        <w:numPr>
          <w:ilvl w:val="0"/>
          <w:numId w:val="2"/>
        </w:numPr>
        <w:spacing w:after="60" w:line="264"/>
      </w:pPr>
      <w:r>
        <w:rPr>
          <w:b/>
          <w:bCs/>
        </w:rPr>
        <w:t xml:space="preserve">Opener: </w:t>
      </w:r>
      <w:r>
        <w:t xml:space="preserve">“Hi — I’m trying to reach Tomoharu (or Oggie). We work with growers on water management and I had a question about how you’re handling irrigation across the ranches. Is he around?”</w:t>
      </w:r>
    </w:p>
    <w:p>
      <w:pPr>
        <w:pStyle w:val="ListParagraph"/>
        <w:numPr>
          <w:ilvl w:val="0"/>
          <w:numId w:val="2"/>
        </w:numPr>
        <w:spacing w:after="60" w:line="264"/>
      </w:pPr>
      <w:r>
        <w:rPr>
          <w:b/>
          <w:bCs/>
        </w:rPr>
        <w:t xml:space="preserve">If blocked: </w:t>
      </w:r>
      <w:r>
        <w:t xml:space="preserve">“No problem — could I leave a quick message, or is there a better time to catch him?”</w:t>
      </w:r>
    </w:p>
    <w:p>
      <w:pPr>
        <w:pStyle w:val="ListParagraph"/>
        <w:numPr>
          <w:ilvl w:val="0"/>
          <w:numId w:val="2"/>
        </w:numPr>
        <w:spacing w:after="60" w:line="264"/>
      </w:pPr>
      <w:r>
        <w:rPr>
          <w:b/>
          <w:bCs/>
          <w:color w:val="C00000"/>
        </w:rPr>
        <w:t xml:space="preserve">Do NOT say: </w:t>
      </w:r>
      <w:r>
        <w:t xml:space="preserve">“I’m calling about a product” or “Is the owner available?” — both trigger vendor-screening reflexes.</w:t>
      </w:r>
    </w:p>
    <w:p>
      <w:pPr>
        <w:spacing w:after="60"/>
      </w:pPr>
      <w:r>
        <w:t xml:space="preserve"/>
      </w:r>
    </w:p>
    <w:p>
      <w:pPr>
        <w:pStyle w:val="Heading3"/>
      </w:pPr>
      <w:r>
        <w:t xml:space="preserve">LinkedIn ROI check — reallocate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D9E2F3" w:val="clear"/>
            <w:tcMar>
              <w:top w:type="dxa" w:w="110"/>
              <w:left w:type="dxa" w:w="160"/>
              <w:bottom w:type="dxa" w:w="110"/>
              <w:right w:type="dxa" w:w="140"/>
            </w:tcMar>
          </w:tcPr>
          <w:p>
            <w:pPr>
              <w:spacing w:after="40" w:before="0" w:line="264"/>
            </w:pPr>
            <w:r>
              <w:rPr>
                <w:b/>
                <w:bCs/>
              </w:rPr>
              <w:t xml:space="preserve">Every contact is LOW on LinkedIn (Terry has ~5 connections; the operational staff aren’t on it). Do not spend Arishba’s LinkedIn time here. Reallocate it to:</w:t>
            </w:r>
          </w:p>
          <w:p>
            <w:pPr>
              <w:spacing w:after="0" w:before="0" w:line="264"/>
            </w:pPr>
            <w:r>
              <w:t xml:space="preserve">1) Pulling T-Y’s monthly plant-availability PDFs to size the operation and crop mix before calls.  2) Prepping a physical HydroRoot leave-behind for a Torrance or Trabuco Canyon drop-in.  3) Checking the Plant California Alliance event calendar to catch Iwo in person at an industry event.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1F3864" w:val="clear"/>
            <w:tcMar>
              <w:top w:type="dxa" w:w="110"/>
              <w:left w:type="dxa" w:w="160"/>
              <w:bottom w:type="dxa" w:w="110"/>
              <w:right w:type="dxa" w:w="140"/>
            </w:tcMar>
          </w:tcPr>
          <w:p>
            <w:pPr>
              <w:spacing w:after="20"/>
            </w:pPr>
            <w:r>
              <w:rPr>
                <w:b/>
                <w:bCs/>
                <w:color w:val="FFFFFF"/>
                <w:sz w:val="22"/>
                <w:szCs w:val="22"/>
              </w:rPr>
              <w:t xml:space="preserve">STEP 5</w:t>
            </w:r>
          </w:p>
          <w:p>
            <w:r>
              <w:rPr>
                <w:b/>
                <w:bCs/>
                <w:color w:val="FFFFFF"/>
                <w:sz w:val="30"/>
                <w:szCs w:val="30"/>
              </w:rPr>
              <w:t xml:space="preserve">Connection Path &amp; Outreach Sequence</w:t>
            </w:r>
          </w:p>
        </w:tc>
      </w:tr>
    </w:tbl>
    <w:p>
      <w:pPr>
        <w:spacing w:after="60"/>
      </w:pPr>
      <w:r>
        <w:t xml:space="preserve"/>
      </w:r>
    </w:p>
    <w:p>
      <w:pPr>
        <w:spacing w:after="100" w:before="0" w:line="264"/>
      </w:pPr>
      <w:r>
        <w:rPr>
          <w:b/>
          <w:bCs/>
          <w:color w:val="1F3864"/>
        </w:rPr>
        <w:t xml:space="preserve">Strategy: Bottom-up + champion-led. </w:t>
      </w:r>
      <w:r>
        <w:t xml:space="preserve">Do NOT cold-approach Terry top-down — he’s relationship-driven and digitally absent. Win Iwo (technical champion + association officer) and Watson (daily pain), then let them carry it to Terry. Capulong comes last, for onboarding.</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rPr>
          <w:tblHeader/>
        </w:trPr>
        <w:tc>
          <w:tcPr>
            <w:tcW w:type="dxa" w:w="6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t>
            </w:r>
          </w:p>
        </w:tc>
        <w:tc>
          <w:tcPr>
            <w:tcW w:type="dxa" w:w="3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Channel → Contact</w:t>
            </w:r>
          </w:p>
        </w:tc>
        <w:tc>
          <w:tcPr>
            <w:tcW w:type="dxa" w:w="5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Why this order</w:t>
            </w:r>
          </w:p>
        </w:tc>
      </w:tr>
      <w:tr>
        <w:tc>
          <w:tcPr>
            <w:tcW w:type="dxa" w:w="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rPr>
              <w:t xml:space="preserve">1</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In-person / Email → Tomoharu Iwo</w:t>
            </w:r>
          </w:p>
        </w:tc>
        <w:tc>
          <w:tcPr>
            <w:tcW w:type="dxa" w:w="5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Technical gatekeeper, production owner, and association officer. He can green-light a one-block pilot and bring Terry. Highest-leverage first touch.</w:t>
            </w:r>
          </w:p>
        </w:tc>
      </w:tr>
      <w:tr>
        <w:tc>
          <w:tcPr>
            <w:tcW w:type="dxa" w:w="6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jc w:val="center"/>
            </w:pPr>
            <w:r>
              <w:rPr>
                <w:b/>
                <w:bCs/>
              </w:rPr>
              <w:t xml:space="preserve">2</w:t>
            </w:r>
          </w:p>
        </w:tc>
        <w:tc>
          <w:tcPr>
            <w:tcW w:type="dxa" w:w="35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Cold call → Oggie Watson</w:t>
            </w:r>
          </w:p>
        </w:tc>
        <w:tc>
          <w:tcPr>
            <w:tcW w:type="dxa" w:w="52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Builds bottom-up demand and gives you real discovery intel on the current watering reality. Easiest person to get talking.</w:t>
            </w:r>
          </w:p>
        </w:tc>
      </w:tr>
      <w:tr>
        <w:tc>
          <w:tcPr>
            <w:tcW w:type="dxa" w:w="6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jc w:val="center"/>
            </w:pPr>
            <w:r>
              <w:rPr>
                <w:b/>
                <w:bCs/>
              </w:rPr>
              <w:t xml:space="preserve">3</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b/>
                <w:bCs/>
              </w:rPr>
              <w:t xml:space="preserve">Warm → Terry Yasutake</w:t>
            </w:r>
          </w:p>
        </w:tc>
        <w:tc>
          <w:tcPr>
            <w:tcW w:type="dxa" w:w="52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20"/>
                <w:szCs w:val="20"/>
              </w:rPr>
              <w:t xml:space="preserve">The decision-maker — approached once Iwo/Watson are warm, ideally via Iwo’s intro. Frame around savings + compliance + ‘your team’s already into it.’</w:t>
            </w:r>
          </w:p>
        </w:tc>
      </w:tr>
      <w:tr>
        <w:tc>
          <w:tcPr>
            <w:tcW w:type="dxa" w:w="6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jc w:val="center"/>
            </w:pPr>
            <w:r>
              <w:rPr>
                <w:b/>
                <w:bCs/>
              </w:rPr>
              <w:t xml:space="preserve">4</w:t>
            </w:r>
          </w:p>
        </w:tc>
        <w:tc>
          <w:tcPr>
            <w:tcW w:type="dxa" w:w="35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b/>
                <w:bCs/>
              </w:rPr>
              <w:t xml:space="preserve">Email → Judith Capulong</w:t>
            </w:r>
          </w:p>
        </w:tc>
        <w:tc>
          <w:tcPr>
            <w:tcW w:type="dxa" w:w="52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20"/>
                <w:szCs w:val="20"/>
              </w:rPr>
              <w:t xml:space="preserve">Only after a yes-in-principle — to make vendor onboarding frictionless.</w:t>
            </w:r>
          </w:p>
        </w:tc>
      </w:tr>
    </w:tbl>
    <w:p>
      <w:pPr>
        <w:spacing w:after="60"/>
      </w:pPr>
      <w:r>
        <w:t xml:space="preserve"/>
      </w:r>
    </w:p>
    <w:p>
      <w:pPr>
        <w:pStyle w:val="Heading3"/>
      </w:pPr>
      <w:r>
        <w:t xml:space="preserve">Response logic</w:t>
      </w:r>
    </w:p>
    <w:p>
      <w:pPr>
        <w:pStyle w:val="ListParagraph"/>
        <w:numPr>
          <w:ilvl w:val="0"/>
          <w:numId w:val="2"/>
        </w:numPr>
        <w:spacing w:after="60" w:line="264"/>
      </w:pPr>
      <w:r>
        <w:rPr>
          <w:b/>
          <w:bCs/>
        </w:rPr>
        <w:t xml:space="preserve">If Iwo doesn’t respond in ~1 week: </w:t>
      </w:r>
      <w:r>
        <w:t xml:space="preserve">cold-call Watson at Pauma to build bottom-up interest, then circle back to Iwo referencing that conversation.</w:t>
      </w:r>
    </w:p>
    <w:p>
      <w:pPr>
        <w:pStyle w:val="ListParagraph"/>
        <w:numPr>
          <w:ilvl w:val="0"/>
          <w:numId w:val="2"/>
        </w:numPr>
        <w:spacing w:after="60" w:line="264"/>
      </w:pPr>
      <w:r>
        <w:rPr>
          <w:b/>
          <w:bCs/>
        </w:rPr>
        <w:t xml:space="preserve">If Watson engages first: </w:t>
      </w:r>
      <w:r>
        <w:t xml:space="preserve">use his enthusiasm as social proof into Iwo (“your water lead and I were talking about…”), then to Terry.</w:t>
      </w:r>
    </w:p>
    <w:p>
      <w:pPr>
        <w:pStyle w:val="ListParagraph"/>
        <w:numPr>
          <w:ilvl w:val="0"/>
          <w:numId w:val="2"/>
        </w:numPr>
        <w:spacing w:after="60" w:line="264"/>
      </w:pPr>
      <w:r>
        <w:rPr>
          <w:b/>
          <w:bCs/>
        </w:rPr>
        <w:t xml:space="preserve">If Terry surfaces early: </w:t>
      </w:r>
      <w:r>
        <w:t xml:space="preserve">don’t over-pitch — secure agreement to a low-pressure walkthrough and pull Iwo in as the technical evaluator.</w:t>
      </w:r>
    </w:p>
    <w:p>
      <w:pPr>
        <w:spacing w:after="60"/>
      </w:pPr>
      <w:r>
        <w:t xml:space="preserve"/>
      </w:r>
    </w:p>
    <w:p>
      <w:pPr>
        <w:pStyle w:val="Heading3"/>
      </w:pPr>
      <w:r>
        <w:t xml:space="preserve">In-person escalation (your strongest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6F54" w:sz="4"/>
              <w:left w:val="single" w:color="1F6F54" w:sz="18"/>
              <w:bottom w:val="single" w:color="1F6F54" w:sz="4"/>
              <w:right w:val="single" w:color="1F6F54" w:sz="4"/>
            </w:tcBorders>
            <w:shd w:fill="E2EFDA" w:val="clear"/>
            <w:tcMar>
              <w:top w:type="dxa" w:w="110"/>
              <w:left w:type="dxa" w:w="160"/>
              <w:bottom w:type="dxa" w:w="110"/>
              <w:right w:type="dxa" w:w="140"/>
            </w:tcMar>
          </w:tcPr>
          <w:p>
            <w:pPr>
              <w:spacing w:after="0" w:before="0" w:line="264"/>
            </w:pPr>
            <w:r>
              <w:rPr>
                <w:b/>
                <w:bCs/>
                <w:color w:val="1F6F54"/>
              </w:rPr>
              <w:t xml:space="preserve">Geography is a major advantage. </w:t>
            </w:r>
            <w:r>
              <w:t xml:space="preserve">Trabuco Canyon (~18 mi / 25 min) and Torrance HQ (~30 mi / 40 min) are both within easy reach of Anaheim. If phone/email stall, drive a physical HydroRoot unit to the Torrance HQ (to put it in Iwo’s hands) or the Trabuco Canyon yard (to show a yard manager). Family, hands-on operations trust what they can see and touch — a unit on the counter beats ten emails.</w:t>
            </w:r>
          </w:p>
        </w:tc>
      </w:tr>
    </w:tbl>
    <w:p>
      <w:pPr>
        <w:spacing w:after="60"/>
      </w:pPr>
      <w:r>
        <w:t xml:space="preserve"/>
      </w:r>
    </w:p>
    <w:p>
      <w:pPr>
        <w:pStyle w:val="Heading3"/>
      </w:pPr>
      <w:r>
        <w:t xml:space="preserve">Conversion goals per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4100"/>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Channel</w:t>
            </w:r>
          </w:p>
        </w:tc>
        <w:tc>
          <w:tcPr>
            <w:tcW w:type="dxa" w:w="3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The win</w:t>
            </w:r>
          </w:p>
        </w:tc>
        <w:tc>
          <w:tcPr>
            <w:tcW w:type="dxa" w:w="4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vAlign w:val="center"/>
          </w:tcPr>
          <w:p>
            <w:pPr>
              <w:spacing w:after="0" w:line="252"/>
            </w:pPr>
            <w:r>
              <w:rPr>
                <w:b/>
                <w:bCs/>
                <w:color w:val="FFFFFF"/>
                <w:sz w:val="20"/>
                <w:szCs w:val="20"/>
              </w:rPr>
              <w:t xml:space="preserve">What success looks like</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Cold call</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Book a “walkthrough” with Drew/Dustin (Zoom)</w:t>
            </w:r>
          </w:p>
        </w:tc>
        <w:tc>
          <w:tcPr>
            <w:tcW w:type="dxa" w:w="4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Confirmed date/time; send the calendar invite before hanging up.</w:t>
            </w:r>
          </w:p>
        </w:tc>
      </w:tr>
      <w:tr>
        <w:tc>
          <w:tcPr>
            <w:tcW w:type="dxa" w:w="17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Email</w:t>
            </w:r>
          </w:p>
        </w:tc>
        <w:tc>
          <w:tcPr>
            <w:tcW w:type="dxa" w:w="35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Get any reply</w:t>
            </w:r>
          </w:p>
        </w:tc>
        <w:tc>
          <w:tcPr>
            <w:tcW w:type="dxa" w:w="41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A response — then pivot to booking the walkthrough.</w:t>
            </w:r>
          </w:p>
        </w:tc>
      </w:tr>
      <w:tr>
        <w:tc>
          <w:tcPr>
            <w:tcW w:type="dxa" w:w="17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In-person</w:t>
            </w:r>
          </w:p>
        </w:tc>
        <w:tc>
          <w:tcPr>
            <w:tcW w:type="dxa" w:w="356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Leave a unit or one-pager; get a card or a verbal yes to follow up</w:t>
            </w:r>
          </w:p>
        </w:tc>
        <w:tc>
          <w:tcPr>
            <w:tcW w:type="dxa" w:w="4100"/>
            <w:tcBorders>
              <w:top w:val="single" w:color="BFBFBF" w:sz="1"/>
              <w:left w:val="single" w:color="BFBFBF" w:sz="1"/>
              <w:bottom w:val="single" w:color="BFBFBF" w:sz="1"/>
              <w:right w:val="single" w:color="BFBFBF" w:sz="1"/>
            </w:tcBorders>
            <w:tcMar>
              <w:top w:type="dxa" w:w="70"/>
              <w:left w:type="dxa" w:w="110"/>
              <w:bottom w:type="dxa" w:w="70"/>
              <w:right w:type="dxa" w:w="110"/>
            </w:tcMar>
            <w:vAlign w:val="center"/>
          </w:tcPr>
          <w:p>
            <w:pPr>
              <w:spacing w:after="0" w:line="252"/>
            </w:pPr>
            <w:r>
              <w:rPr>
                <w:sz w:val="19"/>
                <w:szCs w:val="19"/>
              </w:rPr>
              <w:t xml:space="preserve">Opens the door to a scheduled walkthrough.</w:t>
            </w:r>
          </w:p>
        </w:tc>
      </w:tr>
      <w:tr>
        <w:tc>
          <w:tcPr>
            <w:tcW w:type="dxa" w:w="17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LinkedIn</w:t>
            </w:r>
          </w:p>
        </w:tc>
        <w:tc>
          <w:tcPr>
            <w:tcW w:type="dxa" w:w="356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(De-prioritized here)</w:t>
            </w:r>
          </w:p>
        </w:tc>
        <w:tc>
          <w:tcPr>
            <w:tcW w:type="dxa" w:w="4100"/>
            <w:tcBorders>
              <w:top w:val="single" w:color="BFBFBF" w:sz="1"/>
              <w:left w:val="single" w:color="BFBFBF" w:sz="1"/>
              <w:bottom w:val="single" w:color="BFBFBF" w:sz="1"/>
              <w:right w:val="single" w:color="BFBFBF" w:sz="1"/>
            </w:tcBorders>
            <w:shd w:fill="F2F5F9" w:val="clear"/>
            <w:tcMar>
              <w:top w:type="dxa" w:w="70"/>
              <w:left w:type="dxa" w:w="110"/>
              <w:bottom w:type="dxa" w:w="70"/>
              <w:right w:type="dxa" w:w="110"/>
            </w:tcMar>
            <w:vAlign w:val="center"/>
          </w:tcPr>
          <w:p>
            <w:pPr>
              <w:spacing w:after="0" w:line="252"/>
            </w:pPr>
            <w:r>
              <w:rPr>
                <w:sz w:val="19"/>
                <w:szCs w:val="19"/>
              </w:rPr>
              <w:t xml:space="preserve">Effort reallocated — see Step 4.</w:t>
            </w:r>
          </w:p>
        </w:tc>
      </w:tr>
    </w:tbl>
    <w:p>
      <w:pPr>
        <w:spacing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6F" w:sz="4"/>
              <w:left w:val="single" w:color="2E8B6F" w:sz="18"/>
              <w:bottom w:val="single" w:color="2E8B6F" w:sz="4"/>
              <w:right w:val="single" w:color="2E8B6F" w:sz="4"/>
            </w:tcBorders>
            <w:shd w:fill="D9E2F3" w:val="clear"/>
            <w:tcMar>
              <w:top w:type="dxa" w:w="110"/>
              <w:left w:type="dxa" w:w="160"/>
              <w:bottom w:type="dxa" w:w="110"/>
              <w:right w:type="dxa" w:w="140"/>
            </w:tcMar>
          </w:tcPr>
          <w:p>
            <w:pPr>
              <w:spacing w:after="60" w:before="0" w:line="264"/>
            </w:pPr>
            <w:r>
              <w:rPr>
                <w:b/>
                <w:bCs/>
                <w:color w:val="1F3864"/>
              </w:rPr>
              <w:t xml:space="preserve">“Walkthrough” framing: </w:t>
            </w:r>
            <w:r>
              <w:t xml:space="preserve">The first meeting is positioned to T-Y as a casual “walkthrough” — “let me show you how it works and ask about your setup.” Internally this IS the discovery call; Drew/Dustin run it. Don’t call it a ‘demo’ or ‘discovery call’ — ‘walkthrough’ feels collaborative, not salesy.</w:t>
            </w:r>
          </w:p>
          <w:p>
            <w:pPr>
              <w:spacing w:after="0" w:before="0" w:line="264"/>
            </w:pPr>
            <w:r>
              <w:rPr>
                <w:b/>
                <w:bCs/>
              </w:rPr>
              <w:t xml:space="preserve">Team routing (Irrigation — End User): </w:t>
            </w:r>
            <w:r>
              <w:t xml:space="preserve">Email = Yen · Cold calls = Freelance / John · Warm calls &amp; walkthrough = Drew / Dustin · LinkedIn (Arishba) reallocated per Step 4.</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2"/>
      </w:pBdr>
      <w:tabs>
        <w:tab w:val="right" w:pos="9360"/>
      </w:tabs>
      <w:spacing w:before="40"/>
    </w:pPr>
    <w:r>
      <w:rPr>
        <w:color w:val="808080"/>
        <w:sz w:val="15"/>
        <w:szCs w:val="15"/>
      </w:rPr>
      <w:t xml:space="preserve">Confidential — Internal Sales Use Only</w:t>
    </w:r>
    <w:r>
      <w:rPr>
        <w:color w:val="808080"/>
        <w:sz w:val="15"/>
        <w:szCs w:val="15"/>
      </w:rPr>
      <w:t xml:space="preserve">	Page </w:t>
    </w:r>
    <w:r>
      <w:rPr>
        <w:color w:val="8080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6F" w:sz="6" w:space="2"/>
      </w:pBdr>
      <w:tabs>
        <w:tab w:val="right" w:pos="9360"/>
      </w:tabs>
      <w:spacing w:after="40"/>
    </w:pPr>
    <w:r>
      <w:rPr>
        <w:b/>
        <w:bCs/>
        <w:color w:val="1F3864"/>
        <w:sz w:val="16"/>
        <w:szCs w:val="16"/>
      </w:rPr>
      <w:t xml:space="preserve">LINK4 CORPORATION</w:t>
    </w:r>
    <w:r>
      <w:rPr>
        <w:color w:val="808080"/>
        <w:sz w:val="16"/>
        <w:szCs w:val="16"/>
      </w:rPr>
      <w:t xml:space="preserve">	Strategic Outreach Flowchart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F386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F6F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2026-06-10T14:07:39.267Z</dcterms:created>
  <dcterms:modified xsi:type="dcterms:W3CDTF">2026-06-10T14:07:39.267Z</dcterms:modified>
</cp:coreProperties>
</file>

<file path=docProps/custom.xml><?xml version="1.0" encoding="utf-8"?>
<Properties xmlns="http://schemas.openxmlformats.org/officeDocument/2006/custom-properties" xmlns:vt="http://schemas.openxmlformats.org/officeDocument/2006/docPropsVTypes"/>
</file>