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ResponsableRH, représenté par {Nom du Représentant légale}, ci-après désigné le Responsable,</w:t>
      </w:r>
    </w:p>
    <w:p w:rsidR="00446744" w:rsidRDefault="00446744" w:rsidP="00446744">
      <w:r>
        <w:t>Et nom1, né le 2002-10-24, demeurant au 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Graphiste à compter du </w:t>
      </w:r>
      <w:r w:rsidR="0070741E">
        <w:t>2024-01-02. E</w:t>
      </w:r>
      <w:r>
        <w:t>t ce, pour une durée déterminée prenant fin le 2024-07-02.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188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Domicile.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10000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45 heures par semaine, du Lundi au Samedi, de 08:00 à 18:00.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15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2024-1-1.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