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07B0095D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 xml:space="preserve">Finance graduate with hands-on M&amp;A execution experience and proven ability to apply AI and Machine Learning to drive automation and data driven insights. Demonstrated commercial mindset through analyzing 7 live mandates in fast-paced deal environments, combining technical modeling skills with actionable business recommendations. Eager to bring this analytical and commercial foundation to </w:t>
            </w:r>
            <w:proofErr w:type="gramStart"/>
            <w:r w:rsidRPr="00891A7B">
              <w:rPr>
                <w:rFonts w:ascii="Times New Roman" w:hAnsi="Times New Roman"/>
                <w:sz w:val="20"/>
              </w:rPr>
              <w:t>bp's</w:t>
            </w:r>
            <w:proofErr w:type="gramEnd"/>
            <w:r w:rsidRPr="00891A7B">
              <w:rPr>
                <w:rFonts w:ascii="Times New Roman" w:hAnsi="Times New Roman"/>
                <w:sz w:val="20"/>
              </w:rPr>
              <w:t xml:space="preserve"> Analytics track, leveraging fundamental drivers to generate trading insights.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1C8A6F10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across healthcare, tech, and life sciences sectors in fast-paced deal team, building detailed financial models (LBO, DCF, comps) with commercial implications for EUR 5M-50M transactions</w:t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comprehensive market research analyzing supply and demand dynamics, pricing trends, and fundamental drivers across multiple sectors to provide actionable insights for client decision-making and investor presentations</w:t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lean 3-person team managing concurrent projects under tight deadlines, demonstrating ability to take initiative, adapt positively to change, and deliver analysis committed to excellence in high-stakes environments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A307F2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on evaluating acquisition targets in France and Belgium, preparing investment memos with market analysis, competitive landscape assessment, and financial projections for 3 potential acquisitions (EUR 10M-30M), demonstrating buy-side analytical capabilities and commercial judgment</w:t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78F53E56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for CHF 50M+ subsidiary to track KPIs and deliver data driven insights through variance analysis on monthly P&amp;L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05D37805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buyer sourcing tool for investment banks, leveraging Machine Learning algorithms to automate market research and generate data driven insights</w:t>
            </w:r>
          </w:p>
          <w:p w14:paraId="4D3FF32C" w14:textId="1CB00051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 &amp; Company Business Case, developing predictive model using statistical analysis to forecast market events and identify trading opportunities</w:t>
            </w:r>
          </w:p>
          <w:p w14:paraId="5C2AD22C" w14:textId="2708F0DE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 xml:space="preserve">Manage personal investment portfolio using options strategies (Cash Secured Puts, Covered Calls), analyzing market fundamentals and executing disciplined trades with 45-day expiries to generate CHF 5K+ annual premiums 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1D0D30C8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Data Science for Finance, Derivatives, Quantitative Asset and Risk Management</w:t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Excel, Python, PowerBI, Bloomberg Terminal, SQL, Capital IQ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5A86A9EA" w14:textId="2C6D745F" w:rsidR="00D565C5" w:rsidRPr="00FC712A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</w:tc>
      </w:tr>
    </w:tbl>
    <w:p w14:paraId="7EC90A78" w14:textId="119FADCA" w:rsidR="00FC712A" w:rsidRPr="004D13D4" w:rsidRDefault="00FC712A" w:rsidP="004D13D4">
      <w:pPr>
        <w:tabs>
          <w:tab w:val="left" w:pos="1454"/>
        </w:tabs>
        <w:rPr>
          <w:sz w:val="2"/>
          <w:szCs w:val="2"/>
        </w:rPr>
      </w:pPr>
    </w:p>
    <w:sectPr w:rsidR="00FC712A" w:rsidRPr="004D13D4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0B0AB" w14:textId="77777777" w:rsidR="004E40E2" w:rsidRDefault="004E40E2" w:rsidP="0048624D">
      <w:pPr>
        <w:spacing w:after="0" w:line="240" w:lineRule="auto"/>
      </w:pPr>
      <w:r>
        <w:separator/>
      </w:r>
    </w:p>
  </w:endnote>
  <w:endnote w:type="continuationSeparator" w:id="0">
    <w:p w14:paraId="6645DE62" w14:textId="77777777" w:rsidR="004E40E2" w:rsidRDefault="004E40E2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DE839" w14:textId="77777777" w:rsidR="004E40E2" w:rsidRDefault="004E40E2" w:rsidP="0048624D">
      <w:pPr>
        <w:spacing w:after="0" w:line="240" w:lineRule="auto"/>
      </w:pPr>
      <w:r>
        <w:separator/>
      </w:r>
    </w:p>
  </w:footnote>
  <w:footnote w:type="continuationSeparator" w:id="0">
    <w:p w14:paraId="66348096" w14:textId="77777777" w:rsidR="004E40E2" w:rsidRDefault="004E40E2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Pr="004D13D4" w:rsidRDefault="0048624D" w:rsidP="004D13D4">
    <w:pPr>
      <w:pStyle w:val="Header"/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580B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13D4"/>
    <w:rsid w:val="004D5BA4"/>
    <w:rsid w:val="004D69B3"/>
    <w:rsid w:val="004E06BB"/>
    <w:rsid w:val="004E1854"/>
    <w:rsid w:val="004E350C"/>
    <w:rsid w:val="004E40E2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40F8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12A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3930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2025-10-25T18:26:00Z</dcterms:modified>
</cp:coreProperties>
</file>