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5153"/>
        <w:gridCol w:w="2482"/>
        <w:gridCol w:w="1224"/>
      </w:tblGrid>
      <w:tr w:rsidR="009537E6" w:rsidRPr="00891A7B" w14:paraId="12428965" w14:textId="77777777" w:rsidTr="00E23117">
        <w:trPr>
          <w:trHeight w:val="466"/>
          <w:jc w:val="center"/>
        </w:trPr>
        <w:tc>
          <w:tcPr>
            <w:tcW w:w="7513" w:type="dxa"/>
            <w:gridSpan w:val="2"/>
            <w:tcBorders>
              <w:bottom w:val="single" w:sz="12" w:space="0" w:color="auto"/>
            </w:tcBorders>
          </w:tcPr>
          <w:p w14:paraId="26F1A3A2" w14:textId="509A55E1" w:rsidR="009F1F09" w:rsidRPr="00396E88" w:rsidRDefault="00396E88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  <w:lang w:val="fr-FR"/>
              </w:rPr>
            </w:pPr>
            <w:r>
              <w:rPr>
                <w:rFonts w:ascii="Times New Roman" w:hAnsi="Times New Roman"/>
                <w:sz w:val="44"/>
                <w:szCs w:val="44"/>
                <w:lang w:val="fr-FR"/>
              </w:rPr>
              <w:t>Adrian Turion</w:t>
            </w:r>
          </w:p>
        </w:tc>
        <w:tc>
          <w:tcPr>
            <w:tcW w:w="2482" w:type="dxa"/>
            <w:tcBorders>
              <w:bottom w:val="single" w:sz="12" w:space="0" w:color="auto"/>
            </w:tcBorders>
            <w:vAlign w:val="bottom"/>
          </w:tcPr>
          <w:p w14:paraId="7EB61754" w14:textId="491075C2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="00D55BE8">
              <w:rPr>
                <w:rFonts w:ascii="Times New Roman" w:hAnsi="Times New Roman"/>
                <w:sz w:val="20"/>
                <w:szCs w:val="20"/>
                <w:lang w:val="fr-FR"/>
              </w:rPr>
              <w:br/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E23117">
        <w:trPr>
          <w:trHeight w:val="288"/>
          <w:jc w:val="center"/>
        </w:trPr>
        <w:tc>
          <w:tcPr>
            <w:tcW w:w="7513" w:type="dxa"/>
            <w:gridSpan w:val="2"/>
            <w:tcBorders>
              <w:top w:val="single" w:sz="12" w:space="0" w:color="auto"/>
            </w:tcBorders>
          </w:tcPr>
          <w:p w14:paraId="1D9D9C12" w14:textId="513C9061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turionadrian@gmail.com | Swiss national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 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248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E23117">
        <w:trPr>
          <w:trHeight w:val="20"/>
          <w:jc w:val="center"/>
        </w:trPr>
        <w:tc>
          <w:tcPr>
            <w:tcW w:w="751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8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E23117">
        <w:trPr>
          <w:trHeight w:val="20"/>
          <w:jc w:val="center"/>
        </w:trPr>
        <w:tc>
          <w:tcPr>
            <w:tcW w:w="751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248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0AF777B0" w:rsidR="003B419E" w:rsidRPr="00891A7B" w:rsidRDefault="003A33D2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A33D2">
              <w:rPr>
                <w:rFonts w:ascii="Times New Roman" w:hAnsi="Times New Roman"/>
                <w:sz w:val="20"/>
              </w:rPr>
              <w:t>M&amp;A analyst based in Geneva with 1–2 years of small &amp; mid-cap cross-border deal experience in Switzerland and Europe, strong financial modelling and valuation skills, and prior M&amp;A and FP&amp;A internships. Now keen to contribute to Deutsche Bank’s Swiss Corporate Finance Team in Zurich and work on larger, complex M&amp;A and capital markets transactions.</w:t>
            </w:r>
          </w:p>
        </w:tc>
      </w:tr>
      <w:tr w:rsidR="003B419E" w:rsidRPr="00891A7B" w14:paraId="0026A06A" w14:textId="77777777" w:rsidTr="00E23117">
        <w:trPr>
          <w:trHeight w:val="20"/>
          <w:jc w:val="center"/>
        </w:trPr>
        <w:tc>
          <w:tcPr>
            <w:tcW w:w="751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370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E23117">
        <w:trPr>
          <w:trHeight w:val="20"/>
          <w:jc w:val="center"/>
        </w:trPr>
        <w:tc>
          <w:tcPr>
            <w:tcW w:w="751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370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E23117">
        <w:trPr>
          <w:trHeight w:val="20"/>
          <w:jc w:val="center"/>
        </w:trPr>
        <w:tc>
          <w:tcPr>
            <w:tcW w:w="751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370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50ED7E4" w14:textId="4D1F4FD6" w:rsidR="003A33D2" w:rsidRPr="003A33D2" w:rsidRDefault="003A33D2" w:rsidP="003A33D2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3A33D2">
              <w:rPr>
                <w:rFonts w:ascii="Times New Roman" w:hAnsi="Times New Roman"/>
                <w:sz w:val="20"/>
              </w:rPr>
              <w:t>Execute small &amp; mid-cap M&amp;A and capital raising mandates in Switzerland and Europe (sell-side, buy-side, fundraising) across healthcare, tech &amp; software, services and industrials, taking an active role on live transactions in lean deal teams.</w:t>
            </w:r>
          </w:p>
          <w:p w14:paraId="757D073D" w14:textId="447A668E" w:rsidR="003A33D2" w:rsidRPr="003A33D2" w:rsidRDefault="003A33D2" w:rsidP="003A33D2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3A33D2">
              <w:rPr>
                <w:rFonts w:ascii="Times New Roman" w:hAnsi="Times New Roman"/>
                <w:sz w:val="20"/>
              </w:rPr>
              <w:t>Build and maintain detailed financial models (DCF, LBO, trading &amp; transaction comparables, scenarios and sensitivities), prepare valuation materials and support the drafting of client presentations, teasers and information memoranda.</w:t>
            </w:r>
          </w:p>
          <w:p w14:paraId="4D725D73" w14:textId="431BF6E8" w:rsidR="003B419E" w:rsidRPr="00D823D6" w:rsidRDefault="003A33D2" w:rsidP="003A33D2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3A33D2">
              <w:rPr>
                <w:rFonts w:ascii="Times New Roman" w:hAnsi="Times New Roman"/>
                <w:sz w:val="20"/>
              </w:rPr>
              <w:t>Coordinate due diligence processes and communication with legal, tax and other advisers, while using data- and AI-driven tools to screen targets and buyers and to structure deal pipelines.</w:t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E23117">
        <w:trPr>
          <w:trHeight w:val="20"/>
          <w:jc w:val="center"/>
        </w:trPr>
        <w:tc>
          <w:tcPr>
            <w:tcW w:w="751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370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04214A1" w14:textId="15E9691D" w:rsidR="00952960" w:rsidRPr="00D823D6" w:rsidRDefault="009758BD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9758BD">
              <w:rPr>
                <w:rFonts w:ascii="Times New Roman" w:hAnsi="Times New Roman"/>
                <w:sz w:val="20"/>
              </w:rPr>
              <w:t>Supported the CEO of the Healthcare &amp; Retail division on a cross-border buy-and-build strategy, leading target screening and management discussions for 180+ companies and contributing to financial analyses and investment memos that underpinned advanced negotiations with shortlisted acquisitions</w:t>
            </w:r>
          </w:p>
          <w:p w14:paraId="03E5BE4D" w14:textId="60E559CE" w:rsidR="00D823D6" w:rsidRPr="009758BD" w:rsidRDefault="00D823D6" w:rsidP="009758BD">
            <w:pPr>
              <w:pStyle w:val="NoSpacing1"/>
              <w:spacing w:line="264" w:lineRule="auto"/>
              <w:ind w:left="113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165D82B2" w14:textId="77777777" w:rsidTr="00E23117">
        <w:trPr>
          <w:trHeight w:val="144"/>
          <w:jc w:val="center"/>
        </w:trPr>
        <w:tc>
          <w:tcPr>
            <w:tcW w:w="751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370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17FA6091" w:rsidR="003B419E" w:rsidRPr="00E23117" w:rsidRDefault="009758BD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9758BD">
              <w:rPr>
                <w:rFonts w:ascii="Times New Roman" w:hAnsi="Times New Roman"/>
                <w:sz w:val="20"/>
              </w:rPr>
              <w:t>Built P&amp;L models and three-year forecasts across 27 B2B contracts (~CHF 20m revenues), supporting the CFO on budgeting, scenario analysis and strategic initiatives, and preparing concise materials for management committees</w:t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5201E295" w14:textId="04AB5B3D" w:rsidR="00E23117" w:rsidRPr="00E23117" w:rsidRDefault="00E23117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E23117">
              <w:rPr>
                <w:rFonts w:ascii="Times New Roman" w:hAnsi="Times New Roman"/>
                <w:sz w:val="20"/>
              </w:rPr>
              <w:t>Finalist – Keyrock x McKinsey 2024: co-developed a quantitative model using order book and market data to forecast disruption scenarios and presented strategic recommendations under time pressure to Keyrock leadership and McKinsey partners</w:t>
            </w:r>
          </w:p>
          <w:p w14:paraId="5C2AD22C" w14:textId="1B93803D" w:rsidR="007945BC" w:rsidRPr="00891A7B" w:rsidRDefault="00E23117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E23117">
              <w:rPr>
                <w:rFonts w:ascii="Times New Roman" w:hAnsi="Times New Roman"/>
                <w:sz w:val="20"/>
              </w:rPr>
              <w:t>Associate – AIESEC: relaunched post-COVID business development by sourcing corporate leads, producing tailored pitchbooks and negotiating three partnerships (~CHF 60k), significantly increasing volunteer placements</w:t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E23117">
        <w:trPr>
          <w:trHeight w:val="20"/>
          <w:jc w:val="center"/>
        </w:trPr>
        <w:tc>
          <w:tcPr>
            <w:tcW w:w="751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370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E23117">
        <w:trPr>
          <w:trHeight w:val="20"/>
          <w:jc w:val="center"/>
        </w:trPr>
        <w:tc>
          <w:tcPr>
            <w:tcW w:w="751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370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9758BD" w:rsidRDefault="003B419E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9758BD">
              <w:rPr>
                <w:rFonts w:ascii="Times New Roman" w:hAnsi="Times New Roman"/>
                <w:sz w:val="20"/>
              </w:rPr>
              <w:t>Cumulative GPA: 5.2/6.0 (Top 15% of the class cohort)</w:t>
            </w:r>
          </w:p>
          <w:p w14:paraId="28726C22" w14:textId="14466724" w:rsidR="003B419E" w:rsidRPr="009758BD" w:rsidRDefault="003B419E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9758BD">
              <w:rPr>
                <w:rFonts w:ascii="Times New Roman" w:hAnsi="Times New Roman"/>
                <w:sz w:val="20"/>
              </w:rPr>
              <w:t>Exchange programs at Waseda University (</w:t>
            </w:r>
            <w:r w:rsidR="007945BC" w:rsidRPr="009758BD">
              <w:rPr>
                <w:rFonts w:ascii="Times New Roman" w:hAnsi="Times New Roman"/>
                <w:sz w:val="20"/>
              </w:rPr>
              <w:t xml:space="preserve">Tokyo, </w:t>
            </w:r>
            <w:r w:rsidRPr="009758BD">
              <w:rPr>
                <w:rFonts w:ascii="Times New Roman" w:hAnsi="Times New Roman"/>
                <w:sz w:val="20"/>
              </w:rPr>
              <w:t>Japan) and Maastricht University (</w:t>
            </w:r>
            <w:r w:rsidR="007945BC" w:rsidRPr="009758BD">
              <w:rPr>
                <w:rFonts w:ascii="Times New Roman" w:hAnsi="Times New Roman"/>
                <w:sz w:val="20"/>
              </w:rPr>
              <w:t xml:space="preserve">Maastricht, </w:t>
            </w:r>
            <w:r w:rsidRPr="009758BD">
              <w:rPr>
                <w:rFonts w:ascii="Times New Roman" w:hAnsi="Times New Roman"/>
                <w:sz w:val="20"/>
              </w:rPr>
              <w:t>Netherlands)</w:t>
            </w:r>
          </w:p>
          <w:p w14:paraId="7D35A1B6" w14:textId="3D697551" w:rsidR="007945BC" w:rsidRPr="009758BD" w:rsidRDefault="003B419E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9758BD">
              <w:rPr>
                <w:rFonts w:ascii="Times New Roman" w:hAnsi="Times New Roman"/>
                <w:sz w:val="20"/>
              </w:rPr>
              <w:t xml:space="preserve">Relevant Coursework: Corporate Finance, Valuation, </w:t>
            </w:r>
            <w:r w:rsidR="00D823D6" w:rsidRPr="009758BD">
              <w:rPr>
                <w:rFonts w:ascii="Times New Roman" w:hAnsi="Times New Roman"/>
                <w:sz w:val="20"/>
              </w:rPr>
              <w:t>M&amp;A, Private Equity, Venture Capital</w:t>
            </w:r>
          </w:p>
          <w:p w14:paraId="20D9D29E" w14:textId="2B977358" w:rsidR="00C44653" w:rsidRPr="009758BD" w:rsidRDefault="003B419E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9758BD">
              <w:rPr>
                <w:rFonts w:ascii="Times New Roman" w:hAnsi="Times New Roman"/>
                <w:sz w:val="20"/>
              </w:rPr>
              <w:t xml:space="preserve">Thesis Topic: </w:t>
            </w:r>
            <w:r w:rsidR="00E23117" w:rsidRPr="009758BD">
              <w:rPr>
                <w:rFonts w:ascii="Times New Roman" w:hAnsi="Times New Roman"/>
                <w:sz w:val="20"/>
              </w:rPr>
              <w:t>Synergies Analysis of the Merger between American Airlines &amp; US Airways</w:t>
            </w:r>
            <w:r w:rsidRPr="009758BD">
              <w:rPr>
                <w:rFonts w:ascii="Times New Roman" w:hAnsi="Times New Roman"/>
                <w:sz w:val="20"/>
              </w:rPr>
              <w:t xml:space="preserve">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E23117">
        <w:trPr>
          <w:trHeight w:val="20"/>
          <w:jc w:val="center"/>
        </w:trPr>
        <w:tc>
          <w:tcPr>
            <w:tcW w:w="751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370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9758BD" w:rsidRDefault="003B419E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9758BD">
              <w:rPr>
                <w:rFonts w:ascii="Times New Roman" w:hAnsi="Times New Roman"/>
                <w:sz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E23117">
        <w:trPr>
          <w:trHeight w:val="165"/>
          <w:jc w:val="center"/>
        </w:trPr>
        <w:tc>
          <w:tcPr>
            <w:tcW w:w="7513" w:type="dxa"/>
            <w:gridSpan w:val="2"/>
          </w:tcPr>
          <w:p w14:paraId="1BCE2DFD" w14:textId="2639BD81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Scientific Baccalaureate </w:t>
            </w:r>
            <w:r w:rsidR="00E23117" w:rsidRPr="00E23117">
              <w:rPr>
                <w:rFonts w:ascii="Times New Roman" w:hAnsi="Times New Roman"/>
                <w:b/>
                <w:bCs/>
                <w:sz w:val="20"/>
                <w:szCs w:val="20"/>
              </w:rPr>
              <w:t>(French National Baccalauréat)</w:t>
            </w:r>
            <w:r w:rsidR="00E23117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="00E23117" w:rsidRPr="00E23117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- </w:t>
            </w: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Highest Honors (16.6/20)</w:t>
            </w:r>
          </w:p>
        </w:tc>
        <w:tc>
          <w:tcPr>
            <w:tcW w:w="370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E23117">
        <w:trPr>
          <w:trHeight w:val="20"/>
          <w:jc w:val="center"/>
        </w:trPr>
        <w:tc>
          <w:tcPr>
            <w:tcW w:w="751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70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9758BD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0090ED5C" w14:textId="0EC8B3DE" w:rsidR="00E23117" w:rsidRDefault="003B419E" w:rsidP="009758BD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6CCDB48E" w14:textId="77777777" w:rsidR="003A33D2" w:rsidRDefault="003A33D2" w:rsidP="009758BD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</w:p>
          <w:p w14:paraId="2BB2D9E1" w14:textId="6752C147" w:rsidR="003B419E" w:rsidRPr="00891A7B" w:rsidRDefault="003B419E" w:rsidP="009758BD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234C636D" w14:textId="77777777" w:rsidR="003B419E" w:rsidRPr="00891A7B" w:rsidRDefault="003B419E" w:rsidP="009758BD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A90A5D" w:rsidR="003B419E" w:rsidRPr="00891A7B" w:rsidRDefault="003B419E" w:rsidP="009758BD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References: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1292BF50" w:rsidR="0091588A" w:rsidRPr="00891A7B" w:rsidRDefault="003B419E" w:rsidP="009758BD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3A33D2">
              <w:rPr>
                <w:rFonts w:ascii="Times New Roman" w:hAnsi="Times New Roman"/>
                <w:sz w:val="20"/>
                <w:szCs w:val="20"/>
              </w:rPr>
              <w:br/>
            </w:r>
            <w:r w:rsidR="003A33D2" w:rsidRPr="003A33D2">
              <w:rPr>
                <w:rFonts w:ascii="Times New Roman" w:hAnsi="Times New Roman"/>
                <w:sz w:val="20"/>
                <w:szCs w:val="20"/>
              </w:rPr>
              <w:t>German (business proficient – currently strengthening ahead of relocation to Zurich in 2026)</w:t>
            </w:r>
          </w:p>
          <w:p w14:paraId="5A2CE2FE" w14:textId="4BB1745F" w:rsidR="0091588A" w:rsidRPr="00891A7B" w:rsidRDefault="00D823D6" w:rsidP="009758BD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D823D6">
              <w:rPr>
                <w:rFonts w:ascii="Times New Roman" w:hAnsi="Times New Roman"/>
                <w:sz w:val="20"/>
                <w:szCs w:val="20"/>
              </w:rPr>
              <w:t>Excel, PowerPoint, Macabacus, FactSet, Capital IQ, Bloomberg, VBA,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AI workflows &amp; automations</w:t>
            </w:r>
          </w:p>
          <w:p w14:paraId="6CD86EB1" w14:textId="3395319D" w:rsidR="003B419E" w:rsidRPr="00891A7B" w:rsidRDefault="00DA34AB" w:rsidP="009758BD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5A86A9EA" w14:textId="2E2FC4EB" w:rsidR="00D565C5" w:rsidRPr="00E23117" w:rsidRDefault="003B419E" w:rsidP="009758BD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</w:tc>
      </w:tr>
    </w:tbl>
    <w:p w14:paraId="73C70EEF" w14:textId="77777777" w:rsidR="00872CBE" w:rsidRDefault="00872CBE"/>
    <w:sectPr w:rsidR="00872CBE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5BA36" w14:textId="77777777" w:rsidR="000D0713" w:rsidRDefault="000D0713" w:rsidP="0048624D">
      <w:pPr>
        <w:spacing w:after="0" w:line="240" w:lineRule="auto"/>
      </w:pPr>
      <w:r>
        <w:separator/>
      </w:r>
    </w:p>
  </w:endnote>
  <w:endnote w:type="continuationSeparator" w:id="0">
    <w:p w14:paraId="22B42812" w14:textId="77777777" w:rsidR="000D0713" w:rsidRDefault="000D0713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71458" w14:textId="77777777" w:rsidR="000D0713" w:rsidRDefault="000D0713" w:rsidP="0048624D">
      <w:pPr>
        <w:spacing w:after="0" w:line="240" w:lineRule="auto"/>
      </w:pPr>
      <w:r>
        <w:separator/>
      </w:r>
    </w:p>
  </w:footnote>
  <w:footnote w:type="continuationSeparator" w:id="0">
    <w:p w14:paraId="07978D7E" w14:textId="77777777" w:rsidR="000D0713" w:rsidRDefault="000D0713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64891C7F"/>
    <w:multiLevelType w:val="hybridMultilevel"/>
    <w:tmpl w:val="39C8120E"/>
    <w:lvl w:ilvl="0" w:tplc="FE7A387A">
      <w:start w:val="1"/>
      <w:numFmt w:val="bullet"/>
      <w:lvlText w:val=""/>
      <w:lvlJc w:val="left"/>
      <w:pPr>
        <w:ind w:left="567" w:hanging="454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046903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4D0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C019A"/>
    <w:rsid w:val="000C148A"/>
    <w:rsid w:val="000C1B48"/>
    <w:rsid w:val="000C4330"/>
    <w:rsid w:val="000D0713"/>
    <w:rsid w:val="000E09FB"/>
    <w:rsid w:val="000E1041"/>
    <w:rsid w:val="000E3E67"/>
    <w:rsid w:val="000F0285"/>
    <w:rsid w:val="000F0DC8"/>
    <w:rsid w:val="000F3050"/>
    <w:rsid w:val="000F6357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0DD9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96E88"/>
    <w:rsid w:val="003A0507"/>
    <w:rsid w:val="003A1941"/>
    <w:rsid w:val="003A33D2"/>
    <w:rsid w:val="003A3853"/>
    <w:rsid w:val="003A44B1"/>
    <w:rsid w:val="003B419E"/>
    <w:rsid w:val="003C32BA"/>
    <w:rsid w:val="003C39CE"/>
    <w:rsid w:val="003C5367"/>
    <w:rsid w:val="003C7164"/>
    <w:rsid w:val="003C7791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25F9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2CBE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58BD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57AE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612"/>
    <w:rsid w:val="00B808DD"/>
    <w:rsid w:val="00B8249E"/>
    <w:rsid w:val="00B83FE6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12867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5BE8"/>
    <w:rsid w:val="00D565C5"/>
    <w:rsid w:val="00D56D2E"/>
    <w:rsid w:val="00D57DDF"/>
    <w:rsid w:val="00D64AAA"/>
    <w:rsid w:val="00D7220D"/>
    <w:rsid w:val="00D80DA8"/>
    <w:rsid w:val="00D81BFD"/>
    <w:rsid w:val="00D823D6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117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A16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3739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189</cp:revision>
  <cp:lastPrinted>2025-11-16T17:38:00Z</cp:lastPrinted>
  <dcterms:created xsi:type="dcterms:W3CDTF">2024-09-22T11:31:00Z</dcterms:created>
  <dcterms:modified xsi:type="dcterms:W3CDTF">2025-11-16T17:38:00Z</dcterms:modified>
</cp:coreProperties>
</file>