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11,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ECOM Agroindustrial Corp. Ltd.</w:t>
        <w:br/>
        <w:t>Pully, Switzerland</w:t>
        <w:br/>
        <w:t>ECOM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Corporate Development Junior Manager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ECOM's 175-year commitment to responsible commodity sourcing - recently reinforced by $350M in financing from the IFC and ADB for sustainability initiatives - reflects a long-term vision that aligns with my approach to value creation. The opportunity to support strategic M&amp;A and capital investments within this origin-integrated framework is compelling.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End-to-End M&amp;A Execution</w:t>
      </w:r>
      <w:r>
        <w:rPr>
          <w:rFonts w:ascii="Times New Roman" w:hAnsi="Times New Roman"/>
          <w:sz w:val="20"/>
        </w:rPr>
        <w:t xml:space="preserve"> - At Auraia Capital, I gained comprehensive deal exposure in a lean 3-person team, managing mandates from origination through closing. I led valuation analyses, coordinated due diligence across legal, tax, and financial workstreams, and prepared investment memoranda for Board presentations on transactions ranging from EUR 5M to EUR 50M.</w:t>
      </w:r>
    </w:p>
    <w:p w14:paraId="7D05C998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Financial Modelling and Strategic Analysis</w:t>
      </w:r>
      <w:r>
        <w:rPr>
          <w:rFonts w:ascii="Times New Roman" w:hAnsi="Times New Roman"/>
          <w:sz w:val="20"/>
        </w:rPr>
        <w:t xml:space="preserve"> - I have built LBO, DCF, and precedent transaction models across healthcare, tech, and financial services sectors. At RC Group, I worked directly with divisional CEOs on acquisition evaluations, preparing investment memos with market analysis and financial projections for targets with revenues of EUR 10M-30M.</w:t>
      </w:r>
    </w:p>
    <w:p w14:paraId="6213D82F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Cross-Functional Coordination</w:t>
      </w:r>
      <w:r>
        <w:rPr>
          <w:rFonts w:ascii="Times New Roman" w:hAnsi="Times New Roman"/>
          <w:sz w:val="20"/>
        </w:rPr>
        <w:t xml:space="preserve"> - Managing multiple concurrent mandates requires rigorous project management. I have coordinated data rooms, liaised with external advisors, and ensured alignment across stakeholders throughout transaction lifecycles. My experience navigating complex deal structures across Europe prepares me for ECOM's international operations.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would welcome the opportunity to contribute to ECOM's corporate development initiatives and support the strategic growth of your commodities business. I am available to discuss how my M&amp;A experience can add value to your team.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5</cp:revision>
  <dcterms:created xsi:type="dcterms:W3CDTF">2013-12-23T23:15:00Z</dcterms:created>
  <dcterms:modified xsi:type="dcterms:W3CDTF">2026-01-10T20:45:00Z</dcterms:modified>
  <cp:category/>
</cp:coreProperties>
</file>