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Master in Finance graduate with M&amp;A advisory, financial analysis, and investment management experience. Currently supporting cross-border deal execution at Auraïa Capital, with prior FP&amp;A experience at Europ Assistance and buy-side M&amp;A at RC Group. Combines analytical skills with client relationship management to contribute to EFG Bank's entrepreneurial private banking approach.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in a lean 3-person deal team across sourcing, valuation, due diligence, negotiations, and closing for cross-border M&amp;A mandates in healthcare, tech, and life sciences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financial models (LBO, DCF, trading comps, precedent transactions) and prepared client presentations for Board meetings and investor pitches with deal values EUR 5M–50M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client, advisor, and counterparty relationships throughout transaction lifecycle, coordinating with legal, tax, and accounting specialists to structure deals and negotiate terms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with the CEO of Healthcare and Retail divisions on evaluating acquisition targets in France and Belgium, preparing investment memos with market analysis, competitive positioning, and financial projections for 3 acquisitions (EUR 10M–30M revenues)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and performed variance analysis on monthly P&amp;L, supporting the CFO on FP&amp;A and strategic projects for the Swiss subsidiary with CHF 50M+ revenues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2024 McKinsey Business Case, presenting a data-driven predictive model using order book data and statistical arbitrage with potential CHF 200K annual revenue gain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post-COVID financial recovery at AIESEC by sourcing corporate leads and negotiating partnerships, closing 3 key deals generating CHF 60K annual revenue and increasing volunteer placements by 40%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Manages diversified investment portfolio using Cash Secured Puts and Covered Calls, executing disciplined options strategies generating CHF 5K+ annual premiums with +8% returns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Governance &amp; M&amp;A, Investments, Derivatives, Fixed Income &amp; Credit Risk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Investment Analysis | Client Management | Options Trading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