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Analytically rigorous MSc Finance candidate with due diligence experience across 10+ transactions and strong Excel modeling skills. Entrepreneurial initiative demonstrated by founding an AI tool now used by 3 advisory firms. Systematic approach to data collection and performance analysis developed managing concurrent mandates in a lean deal team environment.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team, conducting due diligence, valuation analysis, and coordinating with legal and tax advisors to structure transactions worth EUR 5M to EUR 50M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comps) and prepared client presentations for Board meetings, developing expertise in systematic data collection and performance analysis across multiple sectors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production of marketing materials and investor presentations, maintained buyer universes, and managed data rooms across concurrent mandates, ensuring precise documentation and timely delivery under tight deadlines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Conducted financial and operational due diligence on acquisition targets (EUR 10M-30M revenue), prepared investment memos with market analysis and financial projections, and supported integration planning for the CEO of Healthcare and Retail divisions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KPIs, performed variance analysis on monthly P&amp;L results, and supported annual budget planning and quarterly forecasting for 5 business units at the CHF 50M+ revenue insurance subsidiary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McKinsey-sponsored business case, presenting a data-driven predictive model for black swan market events to Keyrock management and McKinsey consultants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AI-powered tool for investment banks to identify strategic acquirers, now used by 3 M&amp;A advisory firms, reducing research time by 90%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a personal investment portfolio using systematic options strategies (Cash Secured Puts, Covered Calls), generating +8% annualized returns across positions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Data Science for Finance, Investments, Quantitative Asset and Risk Management, Derivatives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Modeling, Investment Analysis, Excel &amp; VBA, PowerBI, Due Diligence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