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Finance professional with 3+ years in M&amp;A analysis, FP&amp;A, and management reporting. Built automated dashboards in Excel and PowerBI at Europ Assistance (CHF 50M+ revenue). Currently building financial models at Auraïa Capital across multiple mandates. Eager to support Rolex's Finance division in ERP evolution and BI tool development.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financial models (LBO, DCF, comps, precedent transactions) and prepared client presentations for Board meetings across 7 live mandates in healthcare, tech, and life sciences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Coordinated with legal, tax, and accounting advisors to structure transactions and negotiate terms, managing client and counterparty relationships throughout deal lifecycle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production of marketing materials and data room management across multiple concurrent mandates in a lean 3-person team, ensuring seamless information flow for cross-border transactions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Prepared investment memos with market analysis, competitive positioning, and financial projections for 3 acquisitions, conducting due diligence on EUR 10M–30M targets in French healthcare and retail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Supported CFO on FP&amp;A for a CHF 50M+ revenue subsidiary, building automated dashboards in Excel and PowerBI to track KPIs, performing variance analysis on monthly P&amp;L, and developing a cost allocation model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2024 McKinsey Business Case, presenting a data-driven model to forecast black swan events using order book data and statistical arbitrage with potential CHF 200K annual revenue gain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Screeny.ai, an AI-driven software for investment banks to identify acquirers, adopted by 3 advisory firms and reducing buyer search time from 10h+ to 20 minutes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post-COVID financial recovery at AIESEC by sourcing corporate leads and negotiating partnerships, closing 3 key deals generating CHF 60K annual revenue and increasing volunteer placements by 40%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Finance, Data Science for Finance, Valuation, Financial Accounting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Excel (VBA, Power Query) | PowerBI &amp; Tableau | SAP | Financial Modeling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