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M&amp;A analyst with hands-on experience in financial modeling, P&amp;L analysis, and cross-border deal execution across 10+ mandates valued EUR 5M-50M. Built automated dashboards tracking KPIs and conducted variance analysis on monthly results for a CHF 50M subsidiary. Eager to apply analytical rigor and collaborative mindset to Trafigura's Deals Desk and Operations rotations.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end-to-end execution in a lean 3-person deal team across 10+ live mandates: sourcing targets, building valuation models (DCF, LBO, trading comps), coordinating due diligence, and managing negotiations through closing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detailed financial models and prepared client presentations for Board meetings and investor pitches; maintained buyer universes of 30+ potential acquirers per mandate and coordinated data room management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relationships with clients, legal advisors, and counterparties throughout transaction lifecycle; reconciled positions daily with stakeholders across Europe, US, and Asia to ensure accurate deal tracking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directly with CEO of Healthcare and Retail divisions on evaluating acquisition targets in France and Belgium; prepared investment memos with market analysis and financial projections; conducted financial due diligence on targets with EUR 10M-30M revenues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 for 5 business units; performed variance analysis on monthly P&amp;L results and investigated discrepancies for CFO reporting; developed new cost allocation model improving profitability analysis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McKinsey Case Finalist: Developed data-driven model to forecast black swan events using order book data and statistical arbitrage; presented to Keyrock management with CHF 200K revenue impact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AIESEC Associate: Led post-COVID financial recovery by sourcing corporate leads and negotiating partnerships; closed 3 deals generating CHF 60K annual revenue and +40% volunteer placements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Screeny.ai: Built AI software for M&amp;A buyer identification adopted by 3 advisory firms; reduced search time from 10h+ to 20min through automated screening algorithms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Derivatives, Quantitative Risk Management, Corporate Governance &amp; M&amp;A, Fixed Income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 | Valuation | P&amp;L Analysis | Excel, PowerBI | EN, FR, ES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