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Client-focused MSc Finance candidate with proven ability to build relationships with sophisticated stakeholders and deliver investment insights under tight deadlines. Gained direct experience managing institutional relationships and producing research-driven content at a Geneva M&amp;A boutique. Eager to apply analytical rigor and communication skills to UBS Global Markets' equities sales platform.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multi-stakeholder relationships with clients, advisors, and institutional counterparties across 10+ concurrent projects, coordinating communication and ensuring timely execution under tight deal deadlines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sector research across healthcare, tech, and financial services, producing investment theses and identifying strategic opportunities across Europe, US, and Asia for institutional and strategic buyers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production of client-facing materials including pitch decks, market analyses, and investor presentations, delivering Board-ready content and supporting investor discussions across multiple live transactions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for the CEO including market analysis, competitive positioning, and financial projections for 3 acquisition targets in French healthcare and retail sectors with valuations of EUR 10-30M, supporting strategic decision-making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for a CHF 50M+ subsidiary, delivering variance analysis, monthly P&amp;L reporting, and executive Board presentations on financial performance, strategic initiatives, and cost reduction opportunities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post-COVID financial recovery at AIESEC by sourcing corporate leads, creating tailored pitchbooks, and negotiating 3 key partnerships generating CHF 60K annual revenue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diversified investment portfolio using options strategies (cash-secured puts, covered calls), generating 8% annualized returns through disciplined theta decay execution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McKinsey Case Finalist: developed predictive model for black swan events using order book data, presenting strategic insights to Keyrock management and McKinsey consultants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Investments, Derivatives, International Finance, Data Science for Finance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Markets | Equity Research | Derivatives | Client Relations | MS Excel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