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Trading product-focused MSc Finance candidate with derivatives, fixed income, and equity knowledge from coursework and active options portfolio management. Strong coordination skills developed managing concurrent workstreams and cross-functional stakeholders. Process optimization mindset demonstrated through automated dashboards and data pipeline development.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across healthcare, tech, and financial services with deal values from EUR 5M to EUR 50M, managing concurrent workstreams including valuations, due diligence, and process coordination with external advisors.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(DCF, trading comps, precedent transactions) and prepared client presentations for Board meetings, translating complex financial data into actionable insights for senior stakeholders.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Coordinated with legal, tax, and accounting advisors to structure transactions and negotiate deal terms, ensuring alignment between business requirements and technical execution across multiple parties.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financial and operational due diligence on targets with revenues of EUR 10M-30M, analyzing market trends, competitive positioning, and financial projections to identify key value drivers and support acquisition decisions for the CEO of Healthcare and Retail divisions.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 for a CHF 50M+ subsidiary, supporting the CFO in identifying operational efficiency improvements and reporting anomalies.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AI-driven software for investment banks to identify acquirers, reducing buyer search time from 10h+ to 20min and securing adoption by 3 advisory firms.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McKinsey-sponsored case competition, developing a predictive model for black swan events using order book data with potential CHF 200K annual revenue impact.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personal investment portfolio using options strategies (Cash Secured Puts, Covered Calls) on derivatives with 45-day expiries, achieving 8% annualized returns.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Derivatives, Fixed Income and Credit Risk, Quantitative Risk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Derivatives | Process Optimization | SQL &amp; PowerBI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