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MSc Finance graduate with operational M&amp;A experience in lean environments. At Glencore's Zinc Marketing Department, I will contribute process-oriented execution and analytical rigor to support trade lifecycle operations. Proven ability to thrive in flat structures, delivering results across concurrent mandates while managing multicultural relationships in fast-paced settings.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Contributed to end-to-end deal execution in lean 3-person team (sourcing, valuation, due diligence, negotiations, closing), thriving in flat organizational structure with high individual responsibility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advisors, and counterparties across Europe, US, and Asia throughout transaction lifecycle, developing multicultural communication and stakeholder coordination in fast-paced environments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marketing materials production, maintained buyer universes, and coordinated data room management across 7 concurrent mandates, showcasing process-oriented approach and detail-focused execution under time pressure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including market analysis, competitive positioning, and financial projections for 3 potential acquisitions (EUR 10M-30M revenues), demonstrating problem-solving skills and ability to synthesize complex information for strategic decision-making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 results for CHF 50M+ subsidiary, showcasing IT proficiency, process optimization mindset to maximize operational efficiency, and ability to streamline reporting workflows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AIESEC's post-COVID recovery by sourcing leads and negotiating partnerships, closing 3 deals generating CHF 60K revenue (+40% placements), demonstrating resilience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 buyer identification tool adopted by 3 M&amp;A firms, reducing search time from 10h+ to 20min, showcasing innovation and diverse task execution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investment portfolio using options strategies (CSPs, CCs), generating CHF 5K+ premiums through analytical thinking and strategic decisions in fast-paced markets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Governance and M&amp;A, Data Science for Finance, Cross-Cultural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Data Analysis | Valuation | Process Optimization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