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MSc Finance graduate with operational M&amp;A experience in lean environments. At Glencore's Zinc Marketing Department, I will contribute process-oriented execution and analytical rigor to support trade lifecycle operations. Proven ability to thrive in flat structures, delivering results across concurrent mandates while managing multicultural relationships in fast-paced settings.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Contributed to end-to-end deal execution in lean 3-person team (sourcing, valuation, due diligence, negotiations, closing), thriving in flat organizational structure with high individual responsibility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relationships with clients, advisors, and counterparties across Europe, US, and Asia throughout transaction lifecycle, developing multicultural communication and stakeholder coordination in fast-paced environments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marketing materials production, maintained buyer universes, and coordinated data room management across 7 concurrent mandates, showcasing process-oriented approach and detail-focused execution under pressure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Prepared investment memos including market analysis, competitive positioning, and financial projections for 3 potential acquisitions (EUR 10M-30M revenues), demonstrating problem-solving skills and ability to synthesize complex information for decision-making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and performed variance analysis on monthly P&amp;L results for CHF 50M+ subsidiary, showcasing IT proficiency, process optimization mindset to maximize operational efficiency, and streamlined reporting workflows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AIESEC's post-COVID recovery by sourcing leads and negotiating partnerships, closing 3 deals generating CHF 60K revenue (+40% placements), demonstrating resilience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Screeny.ai, an AI buyer identification tool adopted by 3 M&amp;A firms, reducing search time from 10h+ to 20min, showcasing innovation and diverse task execution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investment portfolio using options strategies (CSPs, CCs), generating CHF 5K+ premiums through analytical thinking and strategic decisions in markets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Governance and M&amp;A, Data Science for Finance, Cross-Cultural Management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Data Analysis | Valuation | Process Optimization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