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M&amp;A analyst with track record in fast-paced, client-facing environments. Skilled in market analysis, financial modeling, and information processing across 10+ mandates. Demonstrated commercial aptitude through AIESEC (CHF 60K revenue) and entrepreneurial ventures. Seeking to apply hard-working mindset to Lightship Academy's ship broker training in dry-bulk maritime freight.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Executed deal processes in 3-person team across 7 mandates (sell-side, buy-side, debt advisory), managing client relationships, coordinating advisors, and negotiating terms for EUR 5M-50M transactions in healthcare, tech, and life sciences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financial models (LBO, DCF, comps, precedent transactions) and conducted market research to identify strategic buyers for cross-border deals spanning Europe, US, and Asia, processing information for client presentations and Board meetings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marketing materials production, maintained buyer universes, and coordinated data rooms across concurrent mandates, demonstrating multitasking and collaborative approach while training 2 interns in M&amp;A practices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with CEO on evaluating acquisition targets in France and Belgium, preparing investment memos with market analysis for 3 potential acquisitions (EUR 10M-30M), and conducted due diligence to assess synergies and value creation opportunities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Supported CFO on FP&amp;A for CHF 50M+ subsidiary, building automated dashboards in Excel and PowerBI to track KPIs and perform variance analysis, and assisted in budget planning and forecasting for 5 business units, enhancing information processing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McKinsey business case, presenting data-driven model to forecast market events using statistical arbitrage, showcasing analytical rigor and problem-solving under pressure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AIESEC's post-COVID financial recovery by sourcing corporate leads and negotiating partnerships, closing 3 deals generating CHF 60K annual revenue and demonstrating resilience and commercial drive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Screeny.ai, an AI software for investment banks to identify acquirers, leading full-stack development and B2B sales outreach, with tool adopted by 3 firms reducing buyer search time by 90%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Derivatives, Investment and Portfolio Management, Corporate Governance and M&amp;A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Market analysis | Client management | Data processing | Negotiation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