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0AB626F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M&amp;A Analyst with 2+ years of finance experience seeking to join Richemont's Finance Accelerator Program. Built 360-degree finance skills through financial modeling, FP&amp;A, and cross-functional deal execution across healthcare</w:t>
            </w:r>
            <w:r w:rsidR="001E1B24">
              <w:rPr>
                <w:rFonts w:ascii="Times New Roman" w:hAnsi="Times New Roman"/>
                <w:sz w:val="20"/>
              </w:rPr>
              <w:t xml:space="preserve"> and </w:t>
            </w:r>
            <w:r w:rsidRPr="00891A7B">
              <w:rPr>
                <w:rFonts w:ascii="Times New Roman" w:hAnsi="Times New Roman"/>
                <w:sz w:val="20"/>
              </w:rPr>
              <w:t>tech. Proven ability to drive value creation in lean teams with an agility mindset, collaborating with legal, tax, and accounting advisors on cross-border transactions.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client presentations for Board meetings and investor pitches across 10+ live mandates in healthcare, tech, and luxury sectors</w:t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 covering sourcing, valuation, due diligence, negotiations, and closing for cross-border deals ranging EUR 5M-50M across Europe, US, and Asia</w:t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Coordinated with legal, tax, and accounting advisors to structure transactions and negotiate deal terms; managed data rooms, buyer universes, and client relationships throughout transaction lifecycle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financial and operational due diligence on 3 acquisition targets (EUR 10M-30M revenues) working directly with Healthcare and Retail divisional CEOs; prepared investment memos with market analysis, competitive positioning, and financial projections for potential acquisitions in France and Belgium</w:t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Supported CFO and Head of Controlling on FP&amp;A for CHF 50M+ Swiss subsidiary; built automated financial dashboards in Excel and PowerBI tracking KPIs, performed variance analysis on monthly P&amp;L, and assisted in annual budget planning and quarterly rolling forecasts for 5 business units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- McKinsey Business Case: Developed data-driven model forecasting black swan events using order book data and statistical arbitrage; presented to Keyrock management (CHF 200K potential revenue)</w:t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Founder - Screeny.ai: Built full-stack AI-driven buyer identification software for M&amp;A boutiques and PE firms; adopted by 3 advisory firms, reducing strategic buyer search time from 10h+ to 20min</w:t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Manager - Personal Investment Portfolio: Execute disciplined options strategies (Cash Secured Puts, Covered Calls) with 45-day expiries generating +8% annualized returns on 15-20 active positions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Finance, Valuation, Financial Accounting, Quantitative Asset and Risk Management</w:t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(LBO, DCF) | FP&amp;A | Data Analysis (Excel, PowerBI) | SAP | Bloomberg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p w14:paraId="44DD5EC2" w14:textId="77777777" w:rsidR="00102AD4" w:rsidRDefault="00102AD4"/>
    <w:sectPr w:rsidR="00102AD4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2BC01" w14:textId="77777777" w:rsidR="00102AD4" w:rsidRDefault="00102AD4" w:rsidP="0048624D">
      <w:pPr>
        <w:spacing w:after="0" w:line="240" w:lineRule="auto"/>
      </w:pPr>
      <w:r>
        <w:separator/>
      </w:r>
    </w:p>
  </w:endnote>
  <w:endnote w:type="continuationSeparator" w:id="0">
    <w:p w14:paraId="0DFF144E" w14:textId="77777777" w:rsidR="00102AD4" w:rsidRDefault="00102AD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621E" w14:textId="77777777" w:rsidR="00102AD4" w:rsidRDefault="00102AD4" w:rsidP="0048624D">
      <w:pPr>
        <w:spacing w:after="0" w:line="240" w:lineRule="auto"/>
      </w:pPr>
      <w:r>
        <w:separator/>
      </w:r>
    </w:p>
  </w:footnote>
  <w:footnote w:type="continuationSeparator" w:id="0">
    <w:p w14:paraId="7E4A3BE8" w14:textId="77777777" w:rsidR="00102AD4" w:rsidRDefault="00102AD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2AD4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1B24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E7A75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3967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182</cp:revision>
  <cp:lastPrinted>2025-08-20T09:25:00Z</cp:lastPrinted>
  <dcterms:created xsi:type="dcterms:W3CDTF">2024-09-22T11:31:00Z</dcterms:created>
  <dcterms:modified xsi:type="dcterms:W3CDTF">2026-01-11T16:28:00Z</dcterms:modified>
</cp:coreProperties>
</file>