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260"/>
        <w:gridCol w:w="1296"/>
      </w:tblGrid>
      <w:tr w:rsidR="009537E6" w:rsidRPr="00891A7B" w14:paraId="12428965" w14:textId="77777777" w:rsidTr="007945BC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260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96" w:type="dxa"/>
            <w:vMerge w:val="restart"/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195A528C">
                  <wp:extent cx="744513" cy="919063"/>
                  <wp:effectExtent l="0" t="0" r="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0231" cy="96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7945BC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260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96" w:type="dxa"/>
            <w:vMerge/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7945BC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6" w:type="dxa"/>
            <w:vMerge/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7945BC">
        <w:trPr>
          <w:trHeight w:val="20"/>
          <w:jc w:val="center"/>
        </w:trPr>
        <w:tc>
          <w:tcPr>
            <w:tcW w:w="6663" w:type="dxa"/>
            <w:gridSpan w:val="2"/>
          </w:tcPr>
          <w:p w14:paraId="30747D09" w14:textId="7696BC1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INTRODUCTION</w:t>
            </w:r>
          </w:p>
        </w:tc>
        <w:tc>
          <w:tcPr>
            <w:tcW w:w="3260" w:type="dxa"/>
          </w:tcPr>
          <w:p w14:paraId="10EE2B79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96" w:type="dxa"/>
            <w:vMerge/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6E2DA677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Finance graduate with hands-on deal-making experience across multiple concurrent mandates. Entrepreneurial mindset combined with strong analytical and data analysis skills, thriving in fast-paced, high-stakes environments. Eager to apply commercial aptitude and resilience to Glencore's dynamic trading operations.</w:t>
            </w:r>
          </w:p>
        </w:tc>
      </w:tr>
      <w:tr w:rsidR="003B419E" w:rsidRPr="00891A7B" w14:paraId="0026A06A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30939502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WORK EXPERIENCE</w:t>
            </w:r>
          </w:p>
        </w:tc>
        <w:tc>
          <w:tcPr>
            <w:tcW w:w="4556" w:type="dxa"/>
            <w:gridSpan w:val="2"/>
          </w:tcPr>
          <w:p w14:paraId="28C829D2" w14:textId="34D9E93C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079BF785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Staffed on 7 live mandates (sell-side, buy-side, debt advisory) across healthcare, tech, and life sciences with deal values ranging from EUR 5M to EUR 50M, managing multiple concurrent priorities under tight deadlines</w:t>
            </w:r>
          </w:p>
          <w:p w14:paraId="1D118081" w14:textId="017A083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exposure in a lean 3-person deal team (sourcing, valuation, due diligence, negotiations, closing), demonstrating individual responsibility and ownership from day one</w:t>
            </w:r>
          </w:p>
          <w:p w14:paraId="4D725D73" w14:textId="3F1A5BD0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comprehensive industry research and identified strategic buyers for cross-border deals spanning Europe, US, and Asia, leveraging AI-driven tools to streamline buyer sourcing and reduce research time by 90%</w:t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53B207A8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the CEO of Healthcare and Retail divisions on evaluating multiple acquisition targets in France and Belgium, preparing investment memos including market analysis, and financial projections for 3 potential acquisitions</w:t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4F9A661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2024 – Aug 2024</w:t>
            </w:r>
          </w:p>
        </w:tc>
      </w:tr>
      <w:tr w:rsidR="003B419E" w:rsidRPr="00891A7B" w14:paraId="7FCE8F5A" w14:textId="77777777" w:rsidTr="009537E6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14062C89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and performed variance analysis on monthly P&amp;L results for a CHF 50M+ revenue subsidiary, improving financial reporting efficiency through data-driven automation</w:t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891A7B" w14:paraId="19A53AD3" w14:textId="77777777" w:rsidTr="009537E6">
        <w:trPr>
          <w:trHeight w:val="144"/>
          <w:jc w:val="center"/>
        </w:trPr>
        <w:tc>
          <w:tcPr>
            <w:tcW w:w="11219" w:type="dxa"/>
            <w:gridSpan w:val="4"/>
          </w:tcPr>
          <w:p w14:paraId="48A9155C" w14:textId="77777777" w:rsidR="003B419E" w:rsidRPr="00891A7B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LEADERSHIP</w:t>
            </w:r>
          </w:p>
        </w:tc>
      </w:tr>
      <w:tr w:rsidR="003B419E" w:rsidRPr="00891A7B" w14:paraId="71CDBB12" w14:textId="77777777" w:rsidTr="009537E6">
        <w:trPr>
          <w:trHeight w:val="144"/>
          <w:jc w:val="center"/>
        </w:trPr>
        <w:tc>
          <w:tcPr>
            <w:tcW w:w="11219" w:type="dxa"/>
            <w:gridSpan w:val="4"/>
          </w:tcPr>
          <w:p w14:paraId="42E15636" w14:textId="37A785CB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and developed Screeny.ai, an AI-driven software for investment banks to identify strategic acquirers. Adopted by 3 advisory firms, reducing buyer search time from 10h+ to 20min through automation and applied AI</w:t>
            </w:r>
          </w:p>
          <w:p w14:paraId="4D3FF32C" w14:textId="00AF4949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business development at AIESEC, sourcing corporate leads and negotiating partnerships. Closed 3 key deals generating CHF 60K annual revenue and increasing volunteer placements by 40%, demonstrating commercial acumen and resilience</w:t>
            </w:r>
          </w:p>
          <w:p w14:paraId="5C2AD22C" w14:textId="5CF9A1E6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a second-hand luxury sneaker business using upcycled materials, managing supplier relations in China, product development, and marketing. Achieved profitability within 6 months with 150% sales growth in first year</w:t>
            </w:r>
          </w:p>
        </w:tc>
      </w:tr>
      <w:tr w:rsidR="007945BC" w:rsidRPr="00891A7B" w14:paraId="334AD695" w14:textId="77777777" w:rsidTr="009537E6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449A214C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EDUCATION</w:t>
            </w:r>
          </w:p>
        </w:tc>
        <w:tc>
          <w:tcPr>
            <w:tcW w:w="4556" w:type="dxa"/>
            <w:gridSpan w:val="2"/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7F9CCD65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Risk Management, Derivatives, Data Science for Finance, Quantitative Asset and Risk Management</w:t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9537E6">
        <w:trPr>
          <w:trHeight w:val="144"/>
          <w:jc w:val="center"/>
        </w:trPr>
        <w:tc>
          <w:tcPr>
            <w:tcW w:w="11219" w:type="dxa"/>
            <w:gridSpan w:val="4"/>
          </w:tcPr>
          <w:p w14:paraId="09FE67FE" w14:textId="77777777" w:rsidR="003B419E" w:rsidRPr="00891A7B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ADDITIONAL INFORMATION</w:t>
            </w:r>
          </w:p>
        </w:tc>
      </w:tr>
      <w:tr w:rsidR="003B419E" w:rsidRPr="00891A7B" w14:paraId="7B3165A6" w14:textId="77777777" w:rsidTr="009537E6">
        <w:trPr>
          <w:trHeight w:val="1153"/>
          <w:jc w:val="center"/>
        </w:trPr>
        <w:tc>
          <w:tcPr>
            <w:tcW w:w="2360" w:type="dxa"/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075D59D8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Certifications: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6F508063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Financial Modeling: Excel, Bloomberg Terminal, Capital IQ,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PowerBI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| Data Science: Python, SQL, R</w:t>
            </w:r>
          </w:p>
          <w:p w14:paraId="289E16AC" w14:textId="6D0B00DC" w:rsidR="005E186F" w:rsidRPr="00891A7B" w:rsidRDefault="005E186F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Candidate for the CFA Level I exam – November 2025 session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p w14:paraId="4C1C7A61" w14:textId="0FC647A6" w:rsidR="00B47FE3" w:rsidRPr="00891A7B" w:rsidRDefault="00B47FE3" w:rsidP="00C154E3">
      <w:pPr>
        <w:rPr>
          <w:rFonts w:ascii="Times New Roman" w:hAnsi="Times New Roman"/>
          <w:sz w:val="24"/>
          <w:szCs w:val="24"/>
        </w:rPr>
      </w:pPr>
    </w:p>
    <w:sectPr w:rsidR="00B47FE3" w:rsidRPr="00891A7B" w:rsidSect="00891A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680" w:right="454" w:bottom="284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A6F01" w14:textId="77777777" w:rsidR="002311D4" w:rsidRDefault="002311D4" w:rsidP="0048624D">
      <w:pPr>
        <w:spacing w:after="0" w:line="240" w:lineRule="auto"/>
      </w:pPr>
      <w:r>
        <w:separator/>
      </w:r>
    </w:p>
  </w:endnote>
  <w:endnote w:type="continuationSeparator" w:id="0">
    <w:p w14:paraId="025ACF4D" w14:textId="77777777" w:rsidR="002311D4" w:rsidRDefault="002311D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3550F" w14:textId="77777777" w:rsidR="002311D4" w:rsidRDefault="002311D4" w:rsidP="0048624D">
      <w:pPr>
        <w:spacing w:after="0" w:line="240" w:lineRule="auto"/>
      </w:pPr>
      <w:r>
        <w:separator/>
      </w:r>
    </w:p>
  </w:footnote>
  <w:footnote w:type="continuationSeparator" w:id="0">
    <w:p w14:paraId="40C28EFD" w14:textId="77777777" w:rsidR="002311D4" w:rsidRDefault="002311D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B68A8"/>
    <w:rsid w:val="000B6CEE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11D4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F1478"/>
    <w:rsid w:val="005F6CDB"/>
    <w:rsid w:val="005F73AB"/>
    <w:rsid w:val="00612111"/>
    <w:rsid w:val="00616018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30DB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7447E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5534"/>
    <w:rsid w:val="00D457B3"/>
    <w:rsid w:val="00D466CA"/>
    <w:rsid w:val="00D565C5"/>
    <w:rsid w:val="00D56D2E"/>
    <w:rsid w:val="00D57DDF"/>
    <w:rsid w:val="00D64AAA"/>
    <w:rsid w:val="00D7220D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3943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177</cp:revision>
  <cp:lastPrinted>2025-10-05T13:22:00Z</cp:lastPrinted>
  <dcterms:created xsi:type="dcterms:W3CDTF">2024-09-22T11:31:00Z</dcterms:created>
  <dcterms:modified xsi:type="dcterms:W3CDTF">2025-10-05T13:22:00Z</dcterms:modified>
</cp:coreProperties>
</file>