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FD08" w14:textId="33DE922C" w:rsidR="00EC08D5" w:rsidRPr="00EC08D5" w:rsidRDefault="00EC08D5" w:rsidP="00EC08D5">
      <w:pPr>
        <w:jc w:val="center"/>
        <w:rPr>
          <w:rFonts w:ascii="宋体" w:eastAsia="宋体" w:hAnsi="宋体" w:hint="eastAsia"/>
          <w:b/>
          <w:bCs/>
          <w:sz w:val="32"/>
          <w:szCs w:val="36"/>
        </w:rPr>
      </w:pPr>
      <w:r w:rsidRPr="00EC08D5">
        <w:rPr>
          <w:rFonts w:ascii="宋体" w:eastAsia="宋体" w:hAnsi="宋体" w:hint="eastAsia"/>
          <w:b/>
          <w:bCs/>
          <w:sz w:val="32"/>
          <w:szCs w:val="36"/>
        </w:rPr>
        <w:t>超级计算机发展历史</w:t>
      </w:r>
      <w:r w:rsidRPr="00EC08D5">
        <w:rPr>
          <w:rFonts w:ascii="宋体" w:eastAsia="宋体" w:hAnsi="宋体" w:hint="eastAsia"/>
          <w:b/>
          <w:bCs/>
          <w:sz w:val="32"/>
          <w:szCs w:val="36"/>
        </w:rPr>
        <w:t>调研</w:t>
      </w:r>
      <w:r w:rsidRPr="00EC08D5">
        <w:rPr>
          <w:rFonts w:ascii="宋体" w:eastAsia="宋体" w:hAnsi="宋体" w:hint="eastAsia"/>
          <w:b/>
          <w:bCs/>
          <w:sz w:val="32"/>
          <w:szCs w:val="36"/>
        </w:rPr>
        <w:t>及超算</w:t>
      </w:r>
      <w:r w:rsidRPr="00EC08D5">
        <w:rPr>
          <w:rFonts w:ascii="宋体" w:eastAsia="宋体" w:hAnsi="宋体" w:hint="eastAsia"/>
          <w:b/>
          <w:bCs/>
          <w:sz w:val="32"/>
          <w:szCs w:val="36"/>
        </w:rPr>
        <w:t>“木星”</w:t>
      </w:r>
      <w:r w:rsidRPr="00EC08D5">
        <w:rPr>
          <w:rFonts w:ascii="宋体" w:eastAsia="宋体" w:hAnsi="宋体" w:hint="eastAsia"/>
          <w:b/>
          <w:bCs/>
          <w:sz w:val="32"/>
          <w:szCs w:val="36"/>
        </w:rPr>
        <w:t>体系结构剖析</w:t>
      </w:r>
    </w:p>
    <w:p w14:paraId="4DFA5A69" w14:textId="74F3B9A3" w:rsidR="00EC08D5" w:rsidRDefault="00EC08D5" w:rsidP="00EC08D5">
      <w:pPr>
        <w:jc w:val="center"/>
        <w:rPr>
          <w:rFonts w:ascii="宋体" w:eastAsia="宋体" w:hAnsi="宋体"/>
          <w:sz w:val="24"/>
          <w:szCs w:val="28"/>
        </w:rPr>
      </w:pPr>
      <w:r w:rsidRPr="00EC08D5">
        <w:rPr>
          <w:rFonts w:ascii="宋体" w:eastAsia="宋体" w:hAnsi="宋体" w:hint="eastAsia"/>
          <w:sz w:val="24"/>
          <w:szCs w:val="28"/>
        </w:rPr>
        <w:t>李宗杭</w:t>
      </w:r>
    </w:p>
    <w:p w14:paraId="0C51E9E2" w14:textId="77777777" w:rsidR="00B658B7" w:rsidRPr="00EC08D5" w:rsidRDefault="00B658B7" w:rsidP="00EC08D5">
      <w:pPr>
        <w:jc w:val="center"/>
        <w:rPr>
          <w:rFonts w:ascii="宋体" w:eastAsia="宋体" w:hAnsi="宋体" w:hint="eastAsia"/>
          <w:sz w:val="24"/>
          <w:szCs w:val="28"/>
        </w:rPr>
      </w:pPr>
    </w:p>
    <w:p w14:paraId="0D1748BD" w14:textId="625CD3A7" w:rsidR="00EC08D5" w:rsidRPr="00EC08D5" w:rsidRDefault="00EC08D5" w:rsidP="00B658B7">
      <w:pPr>
        <w:rPr>
          <w:rFonts w:ascii="宋体" w:eastAsia="宋体" w:hAnsi="宋体" w:hint="eastAsia"/>
          <w:b/>
          <w:bCs/>
        </w:rPr>
      </w:pPr>
      <w:r w:rsidRPr="00EC08D5">
        <w:rPr>
          <w:rFonts w:ascii="宋体" w:eastAsia="宋体" w:hAnsi="宋体" w:hint="eastAsia"/>
          <w:b/>
          <w:bCs/>
          <w:spacing w:val="110"/>
          <w:kern w:val="0"/>
          <w:fitText w:val="663" w:id="-626134016"/>
        </w:rPr>
        <w:t>摘</w:t>
      </w:r>
      <w:r w:rsidRPr="00EC08D5">
        <w:rPr>
          <w:rFonts w:ascii="宋体" w:eastAsia="宋体" w:hAnsi="宋体" w:hint="eastAsia"/>
          <w:b/>
          <w:bCs/>
          <w:spacing w:val="1"/>
          <w:kern w:val="0"/>
          <w:fitText w:val="663" w:id="-626134016"/>
        </w:rPr>
        <w:t>要</w:t>
      </w:r>
      <w:r>
        <w:rPr>
          <w:rFonts w:ascii="宋体" w:eastAsia="宋体" w:hAnsi="宋体" w:hint="eastAsia"/>
          <w:b/>
          <w:bCs/>
        </w:rPr>
        <w:t>：</w:t>
      </w:r>
      <w:r w:rsidRPr="00EC08D5">
        <w:rPr>
          <w:rFonts w:ascii="宋体" w:eastAsia="宋体" w:hAnsi="宋体" w:hint="eastAsia"/>
        </w:rPr>
        <w:t>超级计算机作为国家科技实力与创新能力的重要体现，已成为支撑科学研究、工程仿真和人工智能发展的关键基础设施。本报告系统调研了超级计算机从专用向量机到大规模并行集群，再到当前异构架构的发展历程，并深入剖析了欧洲首台E级超级计算机"木星"(Jupiter)的体系结构设计。通过对超算系统多层次架构的分析，阐述了计算节点层、资源层、平台层、服务层和应用层的功能特性与相互关系。</w:t>
      </w:r>
    </w:p>
    <w:p w14:paraId="3D66FC3E" w14:textId="3D20B1FB" w:rsidR="00EC08D5" w:rsidRPr="00EC08D5" w:rsidRDefault="00EC08D5" w:rsidP="00B658B7">
      <w:pPr>
        <w:rPr>
          <w:rFonts w:ascii="宋体" w:eastAsia="宋体" w:hAnsi="宋体" w:hint="eastAsia"/>
        </w:rPr>
      </w:pPr>
      <w:r w:rsidRPr="00EC08D5">
        <w:rPr>
          <w:rFonts w:ascii="宋体" w:eastAsia="宋体" w:hAnsi="宋体" w:hint="eastAsia"/>
          <w:b/>
          <w:bCs/>
        </w:rPr>
        <w:t>关键词：</w:t>
      </w:r>
      <w:r w:rsidRPr="00EC08D5">
        <w:rPr>
          <w:rFonts w:ascii="宋体" w:eastAsia="宋体" w:hAnsi="宋体" w:hint="eastAsia"/>
        </w:rPr>
        <w:t>超级计算机；体系结构；E级计算；木星；异构架构；高性能计算</w:t>
      </w:r>
    </w:p>
    <w:p w14:paraId="32E7B5D5" w14:textId="77777777" w:rsidR="00EC08D5" w:rsidRPr="00EC08D5" w:rsidRDefault="00EC08D5" w:rsidP="00B658B7">
      <w:pPr>
        <w:outlineLvl w:val="0"/>
        <w:rPr>
          <w:rFonts w:ascii="宋体" w:eastAsia="宋体" w:hAnsi="宋体" w:hint="eastAsia"/>
          <w:b/>
          <w:bCs/>
          <w:sz w:val="28"/>
          <w:szCs w:val="32"/>
        </w:rPr>
      </w:pPr>
      <w:r w:rsidRPr="00EC08D5">
        <w:rPr>
          <w:rFonts w:ascii="宋体" w:eastAsia="宋体" w:hAnsi="宋体" w:hint="eastAsia"/>
          <w:b/>
          <w:bCs/>
          <w:sz w:val="28"/>
          <w:szCs w:val="32"/>
        </w:rPr>
        <w:t>1 引言</w:t>
      </w:r>
    </w:p>
    <w:p w14:paraId="3369E0EA" w14:textId="4637E21F"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超级计算机是指处理能力极强、运算速度极快的计算机系统，通常由成千上万个计算节点通过高速互连网络组成。自20世纪60年代诞生以来，超级计算机已成为解决重大科学问题、推动工程技术进步和促进经济社会发展的重要工具，在气候模拟、天体物理、新药研发、人工智能等领域发挥着不可替代的作用。近年来，随着AI模型的快速发展，对超级计算机算力的需求呈指数级增长，推动超算技术进入E级(百亿亿次/秒)计算时代。</w:t>
      </w:r>
    </w:p>
    <w:p w14:paraId="3F98FCC0" w14:textId="3EB01CC0"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超级计算机的发展不仅体现了一个国家在战略性高技术领域的研发实力，也是与科技创新、国计民生密切相关的重要基础设施。当前，全球主要科技强国都在竞相发展E级超级计算机，以争夺在高性能计算和人工智能领域的制高点。美国通过能源部主导的"百亿亿次计算项目"(ECP)推动E级系统研发，中国通过"神威"、"天河"和"曙光"系列实现超算技术的跨越式发展，欧洲则通过"欧洲高性能计算联合计划"(EuroHPC)打造协同发展的超算生态系统。</w:t>
      </w:r>
    </w:p>
    <w:p w14:paraId="6B2529F0" w14:textId="77777777" w:rsidR="00EC08D5" w:rsidRPr="00373A21" w:rsidRDefault="00EC08D5" w:rsidP="00B658B7">
      <w:pPr>
        <w:outlineLvl w:val="0"/>
        <w:rPr>
          <w:rFonts w:ascii="宋体" w:eastAsia="宋体" w:hAnsi="宋体" w:hint="eastAsia"/>
          <w:b/>
          <w:bCs/>
          <w:sz w:val="28"/>
          <w:szCs w:val="28"/>
        </w:rPr>
      </w:pPr>
      <w:r w:rsidRPr="00373A21">
        <w:rPr>
          <w:rFonts w:ascii="宋体" w:eastAsia="宋体" w:hAnsi="宋体" w:hint="eastAsia"/>
          <w:b/>
          <w:bCs/>
          <w:sz w:val="28"/>
          <w:szCs w:val="28"/>
        </w:rPr>
        <w:t>2 超级计算机发展历程</w:t>
      </w:r>
    </w:p>
    <w:p w14:paraId="65CE27D6" w14:textId="761CDDB2"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超级计算机自20世纪60年代诞生以来，其体系结构经历了多次重大演变，从早期的专用向量处理系统发展到当今主流的异构并行架构，其发展历程可划分为四个主要阶段。</w:t>
      </w:r>
    </w:p>
    <w:p w14:paraId="30DB2917" w14:textId="77777777" w:rsidR="00EC08D5" w:rsidRPr="005064A3" w:rsidRDefault="00EC08D5" w:rsidP="00B658B7">
      <w:pPr>
        <w:outlineLvl w:val="1"/>
        <w:rPr>
          <w:rFonts w:ascii="宋体" w:eastAsia="宋体" w:hAnsi="宋体" w:hint="eastAsia"/>
          <w:b/>
          <w:bCs/>
          <w:sz w:val="24"/>
          <w:szCs w:val="28"/>
        </w:rPr>
      </w:pPr>
      <w:r w:rsidRPr="005064A3">
        <w:rPr>
          <w:rFonts w:ascii="宋体" w:eastAsia="宋体" w:hAnsi="宋体" w:hint="eastAsia"/>
          <w:b/>
          <w:bCs/>
          <w:sz w:val="24"/>
          <w:szCs w:val="28"/>
        </w:rPr>
        <w:t>2.1 早期向量机阶段（1960s-1980s）</w:t>
      </w:r>
    </w:p>
    <w:p w14:paraId="6A31FF7F" w14:textId="77777777" w:rsidR="001E2087" w:rsidRDefault="00EC08D5" w:rsidP="00B658B7">
      <w:pPr>
        <w:ind w:firstLineChars="200" w:firstLine="440"/>
        <w:rPr>
          <w:rFonts w:ascii="宋体" w:eastAsia="宋体" w:hAnsi="宋体"/>
        </w:rPr>
      </w:pPr>
      <w:r w:rsidRPr="00EC08D5">
        <w:rPr>
          <w:rFonts w:ascii="宋体" w:eastAsia="宋体" w:hAnsi="宋体" w:hint="eastAsia"/>
        </w:rPr>
        <w:t>超级计算机的起源可追溯到20世纪60年代，当时以控制数据公司(CDC)的CDC 6600和克雷研究公司(Cray Research)的Cray-1为代表的早期向量机成为第一代超级计算机的典型代表。这些系统采用向量处理架构，通过专用向量处理器实现对数组运算的加速，显著提升了科学计算任务的执行效率。</w:t>
      </w:r>
    </w:p>
    <w:p w14:paraId="19A073DC" w14:textId="1DFF677E" w:rsidR="00EC08D5" w:rsidRPr="00EC08D5" w:rsidRDefault="00C07083" w:rsidP="00B658B7">
      <w:pPr>
        <w:ind w:firstLineChars="200" w:firstLine="440"/>
        <w:rPr>
          <w:rFonts w:ascii="宋体" w:eastAsia="宋体" w:hAnsi="宋体" w:hint="eastAsia"/>
        </w:rPr>
      </w:pPr>
      <w:r w:rsidRPr="00C07083">
        <w:rPr>
          <w:rFonts w:ascii="宋体" w:eastAsia="宋体" w:hAnsi="宋体" w:hint="eastAsia"/>
        </w:rPr>
        <w:lastRenderedPageBreak/>
        <w:t>CDC 6600成为全球首台商用超级计算机，采用10个并行处理单元，运算速度达每秒300万次浮点运算，其“中央处理单元+外围处理机”的架构设计，开创了并行计算的先河。</w:t>
      </w:r>
      <w:r w:rsidR="00EC08D5" w:rsidRPr="00EC08D5">
        <w:rPr>
          <w:rFonts w:ascii="宋体" w:eastAsia="宋体" w:hAnsi="宋体" w:hint="eastAsia"/>
        </w:rPr>
        <w:t>Cray-1系统于1976年推出，峰值性能达到160 MFLOPS，其创新的C形机柜设计和氟碳化合物冷却技术</w:t>
      </w:r>
      <w:r w:rsidRPr="00C07083">
        <w:rPr>
          <w:rFonts w:ascii="宋体" w:eastAsia="宋体" w:hAnsi="宋体"/>
        </w:rPr>
        <w:t>解决了高密度计算的散热难题，确立了向量机的技术范式</w:t>
      </w:r>
      <w:r>
        <w:rPr>
          <w:rFonts w:ascii="宋体" w:eastAsia="宋体" w:hAnsi="宋体" w:hint="eastAsia"/>
        </w:rPr>
        <w:t>，</w:t>
      </w:r>
      <w:r w:rsidR="00EC08D5" w:rsidRPr="00EC08D5">
        <w:rPr>
          <w:rFonts w:ascii="宋体" w:eastAsia="宋体" w:hAnsi="宋体" w:hint="eastAsia"/>
        </w:rPr>
        <w:t>在当时引起了广泛关注。</w:t>
      </w:r>
      <w:r w:rsidRPr="00C07083">
        <w:rPr>
          <w:rFonts w:ascii="宋体" w:eastAsia="宋体" w:hAnsi="宋体"/>
        </w:rPr>
        <w:t>1985年的 Cray-2进一步将性能提升至每秒12亿次，首次实现多处理器共享内存，支持8个 CPU 协同工作。</w:t>
      </w:r>
      <w:r w:rsidRPr="00C07083">
        <w:rPr>
          <w:rFonts w:ascii="Times New Roman" w:eastAsia="宋体" w:hAnsi="Times New Roman" w:cs="Times New Roman"/>
        </w:rPr>
        <w:t>​</w:t>
      </w:r>
    </w:p>
    <w:p w14:paraId="23977D7D" w14:textId="6ECB3B76" w:rsidR="00EC08D5" w:rsidRPr="00EC08D5" w:rsidRDefault="00C07083" w:rsidP="00B658B7">
      <w:pPr>
        <w:ind w:firstLineChars="200" w:firstLine="440"/>
        <w:rPr>
          <w:rFonts w:ascii="宋体" w:eastAsia="宋体" w:hAnsi="宋体" w:hint="eastAsia"/>
        </w:rPr>
      </w:pPr>
      <w:r w:rsidRPr="00C07083">
        <w:rPr>
          <w:rFonts w:ascii="宋体" w:eastAsia="宋体" w:hAnsi="宋体"/>
        </w:rPr>
        <w:t>这一阶段的技术突破集中在向量指令集优化与硬件并行度提升，美国通过 Cray 系列机型垄断全球超算市场，形成“向量计算 = 超级计算”的行业共识。</w:t>
      </w:r>
      <w:r w:rsidR="00EC08D5" w:rsidRPr="00EC08D5">
        <w:rPr>
          <w:rFonts w:ascii="宋体" w:eastAsia="宋体" w:hAnsi="宋体" w:hint="eastAsia"/>
        </w:rPr>
        <w:t>向量处理器的特点是单条指令能够同时对多个数据项执行运算，而当时的通用CPU属于标量处理器，每次只能对一个数据项进行处理。我国的银河一号和银河二号超级计算机就属于这一类的代表。</w:t>
      </w:r>
    </w:p>
    <w:p w14:paraId="05B5D6D7" w14:textId="77777777" w:rsidR="00EC08D5" w:rsidRPr="005064A3" w:rsidRDefault="00EC08D5" w:rsidP="00B658B7">
      <w:pPr>
        <w:outlineLvl w:val="1"/>
        <w:rPr>
          <w:rFonts w:ascii="宋体" w:eastAsia="宋体" w:hAnsi="宋体" w:hint="eastAsia"/>
          <w:b/>
          <w:bCs/>
          <w:sz w:val="24"/>
          <w:szCs w:val="28"/>
        </w:rPr>
      </w:pPr>
      <w:r w:rsidRPr="005064A3">
        <w:rPr>
          <w:rFonts w:ascii="宋体" w:eastAsia="宋体" w:hAnsi="宋体" w:hint="eastAsia"/>
          <w:b/>
          <w:bCs/>
          <w:sz w:val="24"/>
          <w:szCs w:val="28"/>
        </w:rPr>
        <w:t>2.2 大规模并行处理阶段（1990s）</w:t>
      </w:r>
    </w:p>
    <w:p w14:paraId="0B80DAA3" w14:textId="1B23AA38"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进入20世纪90年代，随着微处理器技术的快速发展和分布式存储理念的普及，超级计算机进入了大规模并行处理(Massive Parallel Processing，MPP)阶段。这一阶段的超级计算机由成百上千个计算节点组成，每个节点都有自己的处理器和本地内存，节点间通过高速网络互联，通过消息传递机制实现并行计算。</w:t>
      </w:r>
    </w:p>
    <w:p w14:paraId="4CBA1CDB" w14:textId="5052B160"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MPP系统的特点是采用分布式内存结构，具有良好的扩展性，能够通过增加节点数量来提升系统整体性能。这一时期的代表性系统包括Intel Paragon、CRAY T3E和IBM SP2等。</w:t>
      </w:r>
      <w:r w:rsidR="005B202A" w:rsidRPr="005B202A">
        <w:rPr>
          <w:rFonts w:ascii="宋体" w:eastAsia="宋体" w:hAnsi="宋体"/>
        </w:rPr>
        <w:t>1992年英特尔推出的Paragon超级计算机，首次突破万亿次浮点运算大关，采用 2048 个处理器构成集群架构</w:t>
      </w:r>
      <w:r w:rsidR="005B202A">
        <w:rPr>
          <w:rFonts w:ascii="宋体" w:eastAsia="宋体" w:hAnsi="宋体" w:hint="eastAsia"/>
        </w:rPr>
        <w:t>。</w:t>
      </w:r>
      <w:r w:rsidR="005B202A" w:rsidRPr="005B202A">
        <w:rPr>
          <w:rFonts w:ascii="宋体" w:eastAsia="宋体" w:hAnsi="宋体"/>
        </w:rPr>
        <w:t>日本在这一阶段实现技术突破，1990年NEC SX-3/44R 超越Cray系列成为全球最快超算，打破美国的技术垄断</w:t>
      </w:r>
      <w:r w:rsidR="005B202A">
        <w:rPr>
          <w:rFonts w:ascii="宋体" w:eastAsia="宋体" w:hAnsi="宋体" w:hint="eastAsia"/>
        </w:rPr>
        <w:t>。</w:t>
      </w:r>
      <w:r w:rsidRPr="00EC08D5">
        <w:rPr>
          <w:rFonts w:ascii="宋体" w:eastAsia="宋体" w:hAnsi="宋体" w:hint="eastAsia"/>
        </w:rPr>
        <w:t>我国在这一阶段也研发了曙光1000等MPP系统。MPP架构的优势在于能够将大量廉价微处理器的计算能力汇聚起来，以较低成本实现高性能计算，这使得超级计算机从专用化逐渐走向通用化与普及化。</w:t>
      </w:r>
    </w:p>
    <w:p w14:paraId="1AF1DD78" w14:textId="6F40E8FA" w:rsidR="00EC08D5" w:rsidRPr="005064A3" w:rsidRDefault="00EC08D5" w:rsidP="00B658B7">
      <w:pPr>
        <w:outlineLvl w:val="1"/>
        <w:rPr>
          <w:rFonts w:ascii="宋体" w:eastAsia="宋体" w:hAnsi="宋体" w:hint="eastAsia"/>
          <w:b/>
          <w:bCs/>
          <w:sz w:val="24"/>
          <w:szCs w:val="28"/>
        </w:rPr>
      </w:pPr>
      <w:r w:rsidRPr="005064A3">
        <w:rPr>
          <w:rFonts w:ascii="宋体" w:eastAsia="宋体" w:hAnsi="宋体" w:hint="eastAsia"/>
          <w:b/>
          <w:bCs/>
          <w:sz w:val="24"/>
          <w:szCs w:val="28"/>
        </w:rPr>
        <w:t xml:space="preserve">2.3 </w:t>
      </w:r>
      <w:r w:rsidR="005B202A" w:rsidRPr="005064A3">
        <w:rPr>
          <w:rFonts w:ascii="宋体" w:eastAsia="宋体" w:hAnsi="宋体" w:hint="eastAsia"/>
          <w:b/>
          <w:bCs/>
          <w:sz w:val="24"/>
          <w:szCs w:val="28"/>
        </w:rPr>
        <w:t>集</w:t>
      </w:r>
      <w:r w:rsidRPr="005064A3">
        <w:rPr>
          <w:rFonts w:ascii="宋体" w:eastAsia="宋体" w:hAnsi="宋体" w:hint="eastAsia"/>
          <w:b/>
          <w:bCs/>
          <w:sz w:val="24"/>
          <w:szCs w:val="28"/>
        </w:rPr>
        <w:t>群架构阶段（2000s-2010s）</w:t>
      </w:r>
    </w:p>
    <w:p w14:paraId="211E7B1B" w14:textId="1A160840"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21世纪初，随着商用处理器性能的飞速提升和高速网络技术的日益成熟，</w:t>
      </w:r>
      <w:r w:rsidR="005B202A">
        <w:rPr>
          <w:rFonts w:ascii="宋体" w:eastAsia="宋体" w:hAnsi="宋体" w:hint="eastAsia"/>
        </w:rPr>
        <w:t>集</w:t>
      </w:r>
      <w:r w:rsidRPr="00EC08D5">
        <w:rPr>
          <w:rFonts w:ascii="宋体" w:eastAsia="宋体" w:hAnsi="宋体" w:hint="eastAsia"/>
        </w:rPr>
        <w:t>群架构(Cluster)逐渐成为超级计算机的主流体系结构。</w:t>
      </w:r>
      <w:r w:rsidR="005B202A">
        <w:rPr>
          <w:rFonts w:ascii="宋体" w:eastAsia="宋体" w:hAnsi="宋体" w:hint="eastAsia"/>
        </w:rPr>
        <w:t>集</w:t>
      </w:r>
      <w:r w:rsidRPr="00EC08D5">
        <w:rPr>
          <w:rFonts w:ascii="宋体" w:eastAsia="宋体" w:hAnsi="宋体" w:hint="eastAsia"/>
        </w:rPr>
        <w:t>群系统采用商用计算节点作为基础构建块，通过高速互连网络将这些节点连接起来，配合并行编程环境和系统管理软件，形成一个统一的并行计算系统。</w:t>
      </w:r>
    </w:p>
    <w:p w14:paraId="361357DC" w14:textId="1D2D184D" w:rsidR="00EC08D5" w:rsidRPr="00EC08D5" w:rsidRDefault="005B202A" w:rsidP="00B658B7">
      <w:pPr>
        <w:ind w:firstLineChars="200" w:firstLine="440"/>
        <w:rPr>
          <w:rFonts w:ascii="宋体" w:eastAsia="宋体" w:hAnsi="宋体" w:hint="eastAsia"/>
        </w:rPr>
      </w:pPr>
      <w:r>
        <w:rPr>
          <w:rFonts w:ascii="宋体" w:eastAsia="宋体" w:hAnsi="宋体" w:hint="eastAsia"/>
        </w:rPr>
        <w:t>集</w:t>
      </w:r>
      <w:r w:rsidR="00EC08D5" w:rsidRPr="00EC08D5">
        <w:rPr>
          <w:rFonts w:ascii="宋体" w:eastAsia="宋体" w:hAnsi="宋体" w:hint="eastAsia"/>
        </w:rPr>
        <w:t>群系统与MPP一样同属分布式内存结构，但具有更高的成本效益和更好的灵活性。根据TOP500统计，</w:t>
      </w:r>
      <w:r>
        <w:rPr>
          <w:rFonts w:ascii="宋体" w:eastAsia="宋体" w:hAnsi="宋体" w:hint="eastAsia"/>
        </w:rPr>
        <w:t>集群</w:t>
      </w:r>
      <w:r w:rsidR="00EC08D5" w:rsidRPr="00EC08D5">
        <w:rPr>
          <w:rFonts w:ascii="宋体" w:eastAsia="宋体" w:hAnsi="宋体" w:hint="eastAsia"/>
        </w:rPr>
        <w:t>式系统在超级计算机中的占比连年上升，最高时达到83%以上。这一阶段的代表性系统包括洛斯阿拉莫斯国家实验室的Avalon Cluster、我国的深腾1800/6800和曙光2000/3000等。</w:t>
      </w:r>
    </w:p>
    <w:p w14:paraId="6E02BDB7" w14:textId="0ABD59DD"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在互连技术方面，InfiniBand、Myrinet和QsNet等高速网络技术被广泛应用。特别是InfiniBand技术，采用基于交换的点对点串行连接，具有极强的可扩展性，最新</w:t>
      </w:r>
      <w:r w:rsidRPr="00EC08D5">
        <w:rPr>
          <w:rFonts w:ascii="宋体" w:eastAsia="宋体" w:hAnsi="宋体" w:hint="eastAsia"/>
        </w:rPr>
        <w:lastRenderedPageBreak/>
        <w:t>的4倍数据率(QDR) InfiniBand可达10Gb/s的通道基本传输率。在软件方面，Linux操作系统因其开放性、安全性和对并行计算的良好支持，成为</w:t>
      </w:r>
      <w:r w:rsidR="005B202A">
        <w:rPr>
          <w:rFonts w:ascii="宋体" w:eastAsia="宋体" w:hAnsi="宋体" w:hint="eastAsia"/>
        </w:rPr>
        <w:t>集群</w:t>
      </w:r>
      <w:r w:rsidRPr="00EC08D5">
        <w:rPr>
          <w:rFonts w:ascii="宋体" w:eastAsia="宋体" w:hAnsi="宋体" w:hint="eastAsia"/>
        </w:rPr>
        <w:t>系统的首选操作系统。</w:t>
      </w:r>
    </w:p>
    <w:p w14:paraId="7A35098B" w14:textId="77777777" w:rsidR="00EC08D5" w:rsidRPr="005064A3" w:rsidRDefault="00EC08D5" w:rsidP="00B658B7">
      <w:pPr>
        <w:outlineLvl w:val="1"/>
        <w:rPr>
          <w:rFonts w:ascii="宋体" w:eastAsia="宋体" w:hAnsi="宋体" w:hint="eastAsia"/>
          <w:b/>
          <w:bCs/>
          <w:sz w:val="24"/>
          <w:szCs w:val="28"/>
        </w:rPr>
      </w:pPr>
      <w:r w:rsidRPr="005064A3">
        <w:rPr>
          <w:rFonts w:ascii="宋体" w:eastAsia="宋体" w:hAnsi="宋体" w:hint="eastAsia"/>
          <w:b/>
          <w:bCs/>
          <w:sz w:val="24"/>
          <w:szCs w:val="28"/>
        </w:rPr>
        <w:t>2.4 异构与协同计算阶段（2010s至今）</w:t>
      </w:r>
    </w:p>
    <w:p w14:paraId="4A89A3EF" w14:textId="688754EF"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近年来，随着摩尔定律的放缓和功耗限制的加剧，单纯依靠增加CPU数量来提升性能的传统方法面临瓶颈。在这一背景下，异构计算技术应运而生，通过将CPU与加速器(如GPU、FPGA等)相结合，形成协同计算架构，成为当前超级计算机发展的主要趋势。</w:t>
      </w:r>
    </w:p>
    <w:p w14:paraId="768EDBE2" w14:textId="2AD23675"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天河一号作为我国首台千万亿次超级计算机，就采用了GPU加速节点并提升了GPU的计算效率，实现了CPU与GPU融合的异构协同计算。当今世界领先的超级计算机，如美国的Frontier、日本的富岳(Fugaku)和欧洲的木星(Jupiter)等都采用了异构架构。</w:t>
      </w:r>
    </w:p>
    <w:p w14:paraId="61965CBE" w14:textId="77777777"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这一阶段的另一重要趋势是人工智能工作负载与传统科学计算的融合。新一代超级计算机不仅需要支持传统的科学工程计算，还需要高效应对AI模型训练和推理等任务。例如，欧洲的"木星"超级计算机就被设计为同时适用于AI模型训练、气候与天气建模以及药物研发等领域。</w:t>
      </w:r>
    </w:p>
    <w:p w14:paraId="6C4C4A4A" w14:textId="77777777" w:rsidR="00EC08D5" w:rsidRPr="007D5C10" w:rsidRDefault="00EC08D5" w:rsidP="00B658B7">
      <w:pPr>
        <w:outlineLvl w:val="0"/>
        <w:rPr>
          <w:rFonts w:ascii="宋体" w:eastAsia="宋体" w:hAnsi="宋体" w:hint="eastAsia"/>
          <w:b/>
          <w:bCs/>
          <w:sz w:val="28"/>
          <w:szCs w:val="32"/>
        </w:rPr>
      </w:pPr>
      <w:r w:rsidRPr="007D5C10">
        <w:rPr>
          <w:rFonts w:ascii="宋体" w:eastAsia="宋体" w:hAnsi="宋体" w:hint="eastAsia"/>
          <w:b/>
          <w:bCs/>
          <w:sz w:val="28"/>
          <w:szCs w:val="32"/>
        </w:rPr>
        <w:t>3 现代超级计算机案例研究：欧洲"木星"系统</w:t>
      </w:r>
    </w:p>
    <w:p w14:paraId="14DCC8AC" w14:textId="4887DE46"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欧洲"木星"(Jupiter)超级计算机是欧洲首台百亿亿次级（E级）超级计算机，于2025年9月5日在德国于利希研究中心正式上线运行。作为欧洲高性能计算联合体的重要项目，木星标志着欧洲正式进入E级计算时代，将在欧洲的科学研究和人工智能发展中发挥关键作用。</w:t>
      </w:r>
    </w:p>
    <w:p w14:paraId="750B355D" w14:textId="77777777" w:rsidR="00EC08D5" w:rsidRPr="007D5C10" w:rsidRDefault="00EC08D5" w:rsidP="00B658B7">
      <w:pPr>
        <w:outlineLvl w:val="1"/>
        <w:rPr>
          <w:rFonts w:ascii="宋体" w:eastAsia="宋体" w:hAnsi="宋体" w:hint="eastAsia"/>
          <w:b/>
          <w:bCs/>
          <w:sz w:val="24"/>
          <w:szCs w:val="28"/>
        </w:rPr>
      </w:pPr>
      <w:r w:rsidRPr="007D5C10">
        <w:rPr>
          <w:rFonts w:ascii="宋体" w:eastAsia="宋体" w:hAnsi="宋体" w:hint="eastAsia"/>
          <w:b/>
          <w:bCs/>
          <w:sz w:val="24"/>
          <w:szCs w:val="28"/>
        </w:rPr>
        <w:t>3.1 系统概况与应用定位</w:t>
      </w:r>
    </w:p>
    <w:p w14:paraId="296BF6C8" w14:textId="206619E3"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木星超级计算机由欧盟和德国联合投资建设，总投入达5亿欧元。该系统占地约3600平方米，相当于半个足球场大小，目前平均功耗约为11兆瓦，运算能力达每秒一百亿亿次，是欧洲最快、全球排名前四的超级计算机。</w:t>
      </w:r>
    </w:p>
    <w:p w14:paraId="15D550FF" w14:textId="4489001F"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在应用定位上，木星将主要用于AI模型训练、气候与天气建模、药物研发等领域。特别值得一提的是，它是欧洲首台在AI模型训练方面具有国际竞争力的超级计算机，将大大增强欧洲在人工智能领域的研究能力。木星还将通过欧洲高性能计算访问通道向全欧用户开放，以加速创新与科学发现。计算资源的分配由欧洲高性能计算联合体与德国高斯超级计算中心共同管理。</w:t>
      </w:r>
    </w:p>
    <w:p w14:paraId="33910EB8" w14:textId="77777777" w:rsidR="00EC08D5" w:rsidRPr="005064A3" w:rsidRDefault="00EC08D5" w:rsidP="00B658B7">
      <w:pPr>
        <w:outlineLvl w:val="1"/>
        <w:rPr>
          <w:rFonts w:ascii="宋体" w:eastAsia="宋体" w:hAnsi="宋体" w:hint="eastAsia"/>
          <w:b/>
          <w:bCs/>
          <w:sz w:val="24"/>
          <w:szCs w:val="28"/>
        </w:rPr>
      </w:pPr>
      <w:r w:rsidRPr="005064A3">
        <w:rPr>
          <w:rFonts w:ascii="宋体" w:eastAsia="宋体" w:hAnsi="宋体" w:hint="eastAsia"/>
          <w:b/>
          <w:bCs/>
          <w:sz w:val="24"/>
          <w:szCs w:val="28"/>
        </w:rPr>
        <w:t>3.2 硬件体系结构</w:t>
      </w:r>
    </w:p>
    <w:p w14:paraId="7D971693" w14:textId="56D68A0A"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木星超级计算机的硬件体系结构采用了先进的异构设计和高效的冷却系统，具体特点如下：</w:t>
      </w:r>
    </w:p>
    <w:p w14:paraId="2849EDEE" w14:textId="77777777" w:rsidR="00EC08D5" w:rsidRPr="005064A3" w:rsidRDefault="00EC08D5" w:rsidP="00B658B7">
      <w:pPr>
        <w:outlineLvl w:val="2"/>
        <w:rPr>
          <w:rFonts w:ascii="宋体" w:eastAsia="宋体" w:hAnsi="宋体" w:hint="eastAsia"/>
          <w:b/>
          <w:bCs/>
        </w:rPr>
      </w:pPr>
      <w:r w:rsidRPr="005064A3">
        <w:rPr>
          <w:rFonts w:ascii="宋体" w:eastAsia="宋体" w:hAnsi="宋体" w:hint="eastAsia"/>
          <w:b/>
          <w:bCs/>
        </w:rPr>
        <w:lastRenderedPageBreak/>
        <w:t>3.2.1 计算单元设计</w:t>
      </w:r>
    </w:p>
    <w:p w14:paraId="34D38CFF" w14:textId="7F7A873B"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木星超级计算机搭载了2.4万个英伟达GH200超级芯片。GH200是英伟达推出的超级芯片，将Grace CPU与Hopper GPU集成在同一封装内，通过高速芯片间互连实现超过900GB/s的带宽，大幅提升了CPU与GPU之间的数据传输效率。这种设计特别适合需要大规模并行处理和高内存带宽的AI训练和科学计算任务。</w:t>
      </w:r>
    </w:p>
    <w:p w14:paraId="2AA6B6D8" w14:textId="7B3A8927"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每个GH200超级芯片包含72个Arm架构的Grace CPU核心和一个基于Hopper架构的GPU。GPU部分具备强大的并行计算能力，特别适用于深度学习训练和高性能计算应用。木星系统通过将大量GH200超级芯片集成，</w:t>
      </w:r>
      <w:r w:rsidR="00DF2E69" w:rsidRPr="00DF2E69">
        <w:rPr>
          <w:rFonts w:ascii="宋体" w:eastAsia="宋体" w:hAnsi="宋体"/>
        </w:rPr>
        <w:t>采用刀片式设计，每个刀片包含8个GH200芯片，通过板载高速互连实现芯片间通信。整个系统共3000个刀片，分布在150个机柜中，每个机柜配备独立的电源模块和冷却单元，</w:t>
      </w:r>
      <w:r w:rsidR="00DF2E69" w:rsidRPr="00EC08D5">
        <w:rPr>
          <w:rFonts w:ascii="宋体" w:eastAsia="宋体" w:hAnsi="宋体" w:hint="eastAsia"/>
        </w:rPr>
        <w:t>形成了强大的聚合计算能力</w:t>
      </w:r>
      <w:r w:rsidR="00DF2E69">
        <w:rPr>
          <w:rFonts w:ascii="宋体" w:eastAsia="宋体" w:hAnsi="宋体" w:hint="eastAsia"/>
        </w:rPr>
        <w:t>，同时</w:t>
      </w:r>
      <w:r w:rsidR="00DF2E69" w:rsidRPr="00DF2E69">
        <w:rPr>
          <w:rFonts w:ascii="宋体" w:eastAsia="宋体" w:hAnsi="宋体"/>
        </w:rPr>
        <w:t>便于维护与扩展。</w:t>
      </w:r>
    </w:p>
    <w:p w14:paraId="58C13A6F" w14:textId="77777777" w:rsidR="00EC08D5" w:rsidRPr="005064A3" w:rsidRDefault="00EC08D5" w:rsidP="00B658B7">
      <w:pPr>
        <w:outlineLvl w:val="2"/>
        <w:rPr>
          <w:rFonts w:ascii="宋体" w:eastAsia="宋体" w:hAnsi="宋体" w:hint="eastAsia"/>
          <w:b/>
          <w:bCs/>
        </w:rPr>
      </w:pPr>
      <w:r w:rsidRPr="005064A3">
        <w:rPr>
          <w:rFonts w:ascii="宋体" w:eastAsia="宋体" w:hAnsi="宋体" w:hint="eastAsia"/>
          <w:b/>
          <w:bCs/>
        </w:rPr>
        <w:t>3.2.2 系统互连结构</w:t>
      </w:r>
    </w:p>
    <w:p w14:paraId="03A349CD" w14:textId="74B2E0EC" w:rsidR="00DF2E69" w:rsidRDefault="00EC08D5" w:rsidP="00B658B7">
      <w:pPr>
        <w:ind w:firstLineChars="200" w:firstLine="440"/>
        <w:rPr>
          <w:rFonts w:ascii="宋体" w:eastAsia="宋体" w:hAnsi="宋体"/>
        </w:rPr>
      </w:pPr>
      <w:r w:rsidRPr="00EC08D5">
        <w:rPr>
          <w:rFonts w:ascii="宋体" w:eastAsia="宋体" w:hAnsi="宋体" w:hint="eastAsia"/>
        </w:rPr>
        <w:t>在互连方面，木星超级计算机采用了多分区高能效模块组成。</w:t>
      </w:r>
      <w:r w:rsidR="00DF2E69" w:rsidRPr="00DF2E69">
        <w:rPr>
          <w:rFonts w:ascii="宋体" w:eastAsia="宋体" w:hAnsi="宋体" w:hint="eastAsia"/>
        </w:rPr>
        <w:t>系统采用NVLink-C2C互连技术作为芯片间主要通信方式，单条链路带宽达1.8TB/s，每个GH200芯片支持8条NVLink-C2C链路，可实现与周边8个芯片的直接连接，形成网状互连拓扑。这种设计使芯片间通信延迟控制在 50 纳秒以内，远低于传统InfiniBand互连的微秒级延迟。</w:t>
      </w:r>
    </w:p>
    <w:p w14:paraId="178C98EE" w14:textId="16270869"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系统级互连基于英伟达的Quantum-2 InfiniBand平台，提供400Gb/s的端口带宽和端到端内联计算功能，满足E级系统对低延迟和高带宽的通信需求。这种互连架构能够支持数千个节点规模的高效数据交换，确保在运行大规模并行应用时不会因通信瓶颈导致性能下降。</w:t>
      </w:r>
    </w:p>
    <w:p w14:paraId="07D3A6F3" w14:textId="77777777" w:rsidR="00EC08D5" w:rsidRPr="005064A3" w:rsidRDefault="00EC08D5" w:rsidP="00B658B7">
      <w:pPr>
        <w:outlineLvl w:val="2"/>
        <w:rPr>
          <w:rFonts w:ascii="宋体" w:eastAsia="宋体" w:hAnsi="宋体" w:hint="eastAsia"/>
          <w:b/>
          <w:bCs/>
        </w:rPr>
      </w:pPr>
      <w:r w:rsidRPr="005064A3">
        <w:rPr>
          <w:rFonts w:ascii="宋体" w:eastAsia="宋体" w:hAnsi="宋体" w:hint="eastAsia"/>
          <w:b/>
          <w:bCs/>
        </w:rPr>
        <w:t>3.2.3 能源效率与冷却系统</w:t>
      </w:r>
    </w:p>
    <w:p w14:paraId="07275B7F" w14:textId="7D8B4A74"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木星超级计算机采用了高效温水冷却设计，可将运行余热纳入于利希校区供热网络，实现能源再利用。这种设计不仅降低了系统的冷却能耗，还提高了能源的综合利用效率，是绿色超算技术的典型应用。</w:t>
      </w:r>
    </w:p>
    <w:p w14:paraId="43E31FF6" w14:textId="13E2CA69"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系统平均功耗约为11兆瓦，相对于其百亿亿次的性能表现，具有较高的能效比。这与系统采用的异构架构和高效冷却技术密不可分。作为对比，早期的一些P级超算系统也达到了类似的功耗水平，但性能仅为木星的十分之一左右，体现了超算技术在能效方面的显著进步。</w:t>
      </w:r>
    </w:p>
    <w:p w14:paraId="7B4DF914" w14:textId="77777777" w:rsidR="00EC08D5" w:rsidRPr="005064A3" w:rsidRDefault="00EC08D5" w:rsidP="00B658B7">
      <w:pPr>
        <w:outlineLvl w:val="1"/>
        <w:rPr>
          <w:rFonts w:ascii="宋体" w:eastAsia="宋体" w:hAnsi="宋体" w:hint="eastAsia"/>
          <w:b/>
          <w:bCs/>
          <w:sz w:val="24"/>
          <w:szCs w:val="28"/>
        </w:rPr>
      </w:pPr>
      <w:r w:rsidRPr="005064A3">
        <w:rPr>
          <w:rFonts w:ascii="宋体" w:eastAsia="宋体" w:hAnsi="宋体" w:hint="eastAsia"/>
          <w:b/>
          <w:bCs/>
          <w:sz w:val="24"/>
          <w:szCs w:val="28"/>
        </w:rPr>
        <w:t>3.3 软件栈与应用生态</w:t>
      </w:r>
    </w:p>
    <w:p w14:paraId="7831ED33" w14:textId="7E7BDF54"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木星超级计算机的软件栈支持传统高性能计算和人工智能工作负载的融合。系统支持MPI(消息传递接口)、OpenMP(共享存储并行编程)等传统并行编程模型，同时也支持CUDA、OpenACC等面向加速器的编程模型。</w:t>
      </w:r>
    </w:p>
    <w:p w14:paraId="0EA59246" w14:textId="71339AC4"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lastRenderedPageBreak/>
        <w:t>为了支撑AI应用，木星预计将配备完整的AI框架，如PyTorch、TensorFlow和JAX等，并针对GH200架构进行深度优化。系统还将提供机器学习平台和科学计算库，为用户提供一站式的AI研发环境。</w:t>
      </w:r>
    </w:p>
    <w:p w14:paraId="0D40D692" w14:textId="63C537C7" w:rsidR="00EC08D5" w:rsidRPr="00EC08D5" w:rsidRDefault="00EC08D5" w:rsidP="00B658B7">
      <w:pPr>
        <w:ind w:firstLineChars="200" w:firstLine="440"/>
        <w:rPr>
          <w:rFonts w:ascii="宋体" w:eastAsia="宋体" w:hAnsi="宋体" w:hint="eastAsia"/>
        </w:rPr>
      </w:pPr>
      <w:r w:rsidRPr="00EC08D5">
        <w:rPr>
          <w:rFonts w:ascii="宋体" w:eastAsia="宋体" w:hAnsi="宋体" w:hint="eastAsia"/>
        </w:rPr>
        <w:t>木星系统后续将配套启动"木星AI工厂(JAIF)"项目，以支撑产业界，尤其是初创企业和中小企业获取木星的算力资源。这一举措将促进超算资源向更广泛的社会经济领域渗透，加速人工智能技术的产业化应用。</w:t>
      </w:r>
    </w:p>
    <w:p w14:paraId="63285B80" w14:textId="3CD6391F" w:rsidR="002255F6" w:rsidRDefault="003D34F0" w:rsidP="00B658B7">
      <w:pPr>
        <w:outlineLvl w:val="0"/>
        <w:rPr>
          <w:rFonts w:ascii="宋体" w:eastAsia="宋体" w:hAnsi="宋体"/>
          <w:b/>
          <w:bCs/>
          <w:sz w:val="28"/>
          <w:szCs w:val="32"/>
        </w:rPr>
      </w:pPr>
      <w:r w:rsidRPr="003D34F0">
        <w:rPr>
          <w:rFonts w:ascii="宋体" w:eastAsia="宋体" w:hAnsi="宋体" w:hint="eastAsia"/>
          <w:b/>
          <w:bCs/>
          <w:sz w:val="28"/>
          <w:szCs w:val="32"/>
        </w:rPr>
        <w:t>4</w:t>
      </w:r>
      <w:r w:rsidR="00EC08D5" w:rsidRPr="003D34F0">
        <w:rPr>
          <w:rFonts w:ascii="宋体" w:eastAsia="宋体" w:hAnsi="宋体" w:hint="eastAsia"/>
          <w:b/>
          <w:bCs/>
          <w:sz w:val="28"/>
          <w:szCs w:val="32"/>
        </w:rPr>
        <w:t xml:space="preserve"> 总结</w:t>
      </w:r>
    </w:p>
    <w:p w14:paraId="18A523F3" w14:textId="188DC8B8" w:rsidR="007D5F4D" w:rsidRPr="007D5F4D" w:rsidRDefault="007D5F4D" w:rsidP="00B658B7">
      <w:pPr>
        <w:ind w:firstLineChars="200" w:firstLine="440"/>
        <w:rPr>
          <w:rFonts w:ascii="宋体" w:eastAsia="宋体" w:hAnsi="宋体"/>
        </w:rPr>
      </w:pPr>
      <w:r w:rsidRPr="007D5F4D">
        <w:rPr>
          <w:rFonts w:ascii="宋体" w:eastAsia="宋体" w:hAnsi="宋体"/>
        </w:rPr>
        <w:t>超级计算机历经向量机、大规模并行处理、集群架构和异构协同计算四个发展阶段，当前已进入E级计算时代，异构架构成为主流趋势。欧洲“木星”超级计算机作为E级超算的典型代表，通过GH200芯片的异构设计、NVLink-C2C与InfiniBand的高效互连以及温水冷却的能源优化方案，实现了百亿亿次的运算能力与较高的能源效率。</w:t>
      </w:r>
    </w:p>
    <w:p w14:paraId="7F079FF4" w14:textId="6D0AEE45" w:rsidR="007D5F4D" w:rsidRPr="007D5F4D" w:rsidRDefault="007D5F4D" w:rsidP="00B658B7">
      <w:pPr>
        <w:ind w:firstLineChars="200" w:firstLine="440"/>
        <w:rPr>
          <w:rFonts w:ascii="宋体" w:eastAsia="宋体" w:hAnsi="宋体" w:hint="eastAsia"/>
        </w:rPr>
      </w:pPr>
      <w:r w:rsidRPr="007D5F4D">
        <w:rPr>
          <w:rFonts w:ascii="宋体" w:eastAsia="宋体" w:hAnsi="宋体"/>
        </w:rPr>
        <w:t>在软件生态方面，木星系统构建了从底层操作系统到上层应用工具链的完整软件栈，支持传统科学计算与AI训练的融合，为多领域应用提供强大支撑。未来，超级计算机将进一步向更高性能、更高能效和更广泛应用方向发展，同时面临软件适配、系统可靠性和应用创新等挑战，需要通过硬件技术革新与软件生态完善，持续推动超级计算在科学研究、产业创新和社会发展中的应用。</w:t>
      </w:r>
    </w:p>
    <w:sectPr w:rsidR="007D5F4D" w:rsidRPr="007D5F4D" w:rsidSect="00116E72">
      <w:pgSz w:w="11906" w:h="16838"/>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50B"/>
    <w:multiLevelType w:val="multilevel"/>
    <w:tmpl w:val="A184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5764A"/>
    <w:multiLevelType w:val="multilevel"/>
    <w:tmpl w:val="8D06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14E2B"/>
    <w:multiLevelType w:val="multilevel"/>
    <w:tmpl w:val="153E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54B2B"/>
    <w:multiLevelType w:val="multilevel"/>
    <w:tmpl w:val="016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43554"/>
    <w:multiLevelType w:val="multilevel"/>
    <w:tmpl w:val="3E1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165D5"/>
    <w:multiLevelType w:val="multilevel"/>
    <w:tmpl w:val="D75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242D8"/>
    <w:multiLevelType w:val="multilevel"/>
    <w:tmpl w:val="15E8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A3174"/>
    <w:multiLevelType w:val="multilevel"/>
    <w:tmpl w:val="F880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916934">
    <w:abstractNumId w:val="0"/>
  </w:num>
  <w:num w:numId="2" w16cid:durableId="1089887291">
    <w:abstractNumId w:val="6"/>
  </w:num>
  <w:num w:numId="3" w16cid:durableId="651757794">
    <w:abstractNumId w:val="7"/>
  </w:num>
  <w:num w:numId="4" w16cid:durableId="407381462">
    <w:abstractNumId w:val="5"/>
  </w:num>
  <w:num w:numId="5" w16cid:durableId="1488474815">
    <w:abstractNumId w:val="4"/>
  </w:num>
  <w:num w:numId="6" w16cid:durableId="1776975029">
    <w:abstractNumId w:val="2"/>
  </w:num>
  <w:num w:numId="7" w16cid:durableId="772894491">
    <w:abstractNumId w:val="1"/>
  </w:num>
  <w:num w:numId="8" w16cid:durableId="632292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3A2"/>
    <w:rsid w:val="00116E72"/>
    <w:rsid w:val="001E2087"/>
    <w:rsid w:val="002255F6"/>
    <w:rsid w:val="002B1C78"/>
    <w:rsid w:val="00373A21"/>
    <w:rsid w:val="003D34F0"/>
    <w:rsid w:val="0044490A"/>
    <w:rsid w:val="004A43A2"/>
    <w:rsid w:val="005064A3"/>
    <w:rsid w:val="005B202A"/>
    <w:rsid w:val="00616A2F"/>
    <w:rsid w:val="006600DD"/>
    <w:rsid w:val="007B677C"/>
    <w:rsid w:val="007D08F4"/>
    <w:rsid w:val="007D5C10"/>
    <w:rsid w:val="007D5F4D"/>
    <w:rsid w:val="00B658B7"/>
    <w:rsid w:val="00C07083"/>
    <w:rsid w:val="00C16D8D"/>
    <w:rsid w:val="00DB14CD"/>
    <w:rsid w:val="00DF2E69"/>
    <w:rsid w:val="00EC08D5"/>
    <w:rsid w:val="00FC0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02D46D"/>
  <w15:chartTrackingRefBased/>
  <w15:docId w15:val="{A6BE4097-17C0-40F8-8DAE-734A9A446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A43A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A43A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A43A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A43A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A43A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A43A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A43A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43A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A43A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43A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A43A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A43A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A43A2"/>
    <w:rPr>
      <w:rFonts w:cstheme="majorBidi"/>
      <w:color w:val="2F5496" w:themeColor="accent1" w:themeShade="BF"/>
      <w:sz w:val="28"/>
      <w:szCs w:val="28"/>
    </w:rPr>
  </w:style>
  <w:style w:type="character" w:customStyle="1" w:styleId="50">
    <w:name w:val="标题 5 字符"/>
    <w:basedOn w:val="a0"/>
    <w:link w:val="5"/>
    <w:uiPriority w:val="9"/>
    <w:semiHidden/>
    <w:rsid w:val="004A43A2"/>
    <w:rPr>
      <w:rFonts w:cstheme="majorBidi"/>
      <w:color w:val="2F5496" w:themeColor="accent1" w:themeShade="BF"/>
      <w:sz w:val="24"/>
    </w:rPr>
  </w:style>
  <w:style w:type="character" w:customStyle="1" w:styleId="60">
    <w:name w:val="标题 6 字符"/>
    <w:basedOn w:val="a0"/>
    <w:link w:val="6"/>
    <w:uiPriority w:val="9"/>
    <w:semiHidden/>
    <w:rsid w:val="004A43A2"/>
    <w:rPr>
      <w:rFonts w:cstheme="majorBidi"/>
      <w:b/>
      <w:bCs/>
      <w:color w:val="2F5496" w:themeColor="accent1" w:themeShade="BF"/>
    </w:rPr>
  </w:style>
  <w:style w:type="character" w:customStyle="1" w:styleId="70">
    <w:name w:val="标题 7 字符"/>
    <w:basedOn w:val="a0"/>
    <w:link w:val="7"/>
    <w:uiPriority w:val="9"/>
    <w:semiHidden/>
    <w:rsid w:val="004A43A2"/>
    <w:rPr>
      <w:rFonts w:cstheme="majorBidi"/>
      <w:b/>
      <w:bCs/>
      <w:color w:val="595959" w:themeColor="text1" w:themeTint="A6"/>
    </w:rPr>
  </w:style>
  <w:style w:type="character" w:customStyle="1" w:styleId="80">
    <w:name w:val="标题 8 字符"/>
    <w:basedOn w:val="a0"/>
    <w:link w:val="8"/>
    <w:uiPriority w:val="9"/>
    <w:semiHidden/>
    <w:rsid w:val="004A43A2"/>
    <w:rPr>
      <w:rFonts w:cstheme="majorBidi"/>
      <w:color w:val="595959" w:themeColor="text1" w:themeTint="A6"/>
    </w:rPr>
  </w:style>
  <w:style w:type="character" w:customStyle="1" w:styleId="90">
    <w:name w:val="标题 9 字符"/>
    <w:basedOn w:val="a0"/>
    <w:link w:val="9"/>
    <w:uiPriority w:val="9"/>
    <w:semiHidden/>
    <w:rsid w:val="004A43A2"/>
    <w:rPr>
      <w:rFonts w:eastAsiaTheme="majorEastAsia" w:cstheme="majorBidi"/>
      <w:color w:val="595959" w:themeColor="text1" w:themeTint="A6"/>
    </w:rPr>
  </w:style>
  <w:style w:type="paragraph" w:styleId="a3">
    <w:name w:val="Title"/>
    <w:basedOn w:val="a"/>
    <w:next w:val="a"/>
    <w:link w:val="a4"/>
    <w:uiPriority w:val="10"/>
    <w:qFormat/>
    <w:rsid w:val="004A43A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43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43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43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43A2"/>
    <w:pPr>
      <w:spacing w:before="160"/>
      <w:jc w:val="center"/>
    </w:pPr>
    <w:rPr>
      <w:i/>
      <w:iCs/>
      <w:color w:val="404040" w:themeColor="text1" w:themeTint="BF"/>
    </w:rPr>
  </w:style>
  <w:style w:type="character" w:customStyle="1" w:styleId="a8">
    <w:name w:val="引用 字符"/>
    <w:basedOn w:val="a0"/>
    <w:link w:val="a7"/>
    <w:uiPriority w:val="29"/>
    <w:rsid w:val="004A43A2"/>
    <w:rPr>
      <w:i/>
      <w:iCs/>
      <w:color w:val="404040" w:themeColor="text1" w:themeTint="BF"/>
    </w:rPr>
  </w:style>
  <w:style w:type="paragraph" w:styleId="a9">
    <w:name w:val="List Paragraph"/>
    <w:basedOn w:val="a"/>
    <w:uiPriority w:val="34"/>
    <w:qFormat/>
    <w:rsid w:val="004A43A2"/>
    <w:pPr>
      <w:ind w:left="720"/>
      <w:contextualSpacing/>
    </w:pPr>
  </w:style>
  <w:style w:type="character" w:styleId="aa">
    <w:name w:val="Intense Emphasis"/>
    <w:basedOn w:val="a0"/>
    <w:uiPriority w:val="21"/>
    <w:qFormat/>
    <w:rsid w:val="004A43A2"/>
    <w:rPr>
      <w:i/>
      <w:iCs/>
      <w:color w:val="2F5496" w:themeColor="accent1" w:themeShade="BF"/>
    </w:rPr>
  </w:style>
  <w:style w:type="paragraph" w:styleId="ab">
    <w:name w:val="Intense Quote"/>
    <w:basedOn w:val="a"/>
    <w:next w:val="a"/>
    <w:link w:val="ac"/>
    <w:uiPriority w:val="30"/>
    <w:qFormat/>
    <w:rsid w:val="004A43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A43A2"/>
    <w:rPr>
      <w:i/>
      <w:iCs/>
      <w:color w:val="2F5496" w:themeColor="accent1" w:themeShade="BF"/>
    </w:rPr>
  </w:style>
  <w:style w:type="character" w:styleId="ad">
    <w:name w:val="Intense Reference"/>
    <w:basedOn w:val="a0"/>
    <w:uiPriority w:val="32"/>
    <w:qFormat/>
    <w:rsid w:val="004A43A2"/>
    <w:rPr>
      <w:b/>
      <w:bCs/>
      <w:smallCaps/>
      <w:color w:val="2F5496" w:themeColor="accent1" w:themeShade="BF"/>
      <w:spacing w:val="5"/>
    </w:rPr>
  </w:style>
  <w:style w:type="character" w:styleId="ae">
    <w:name w:val="Hyperlink"/>
    <w:basedOn w:val="a0"/>
    <w:uiPriority w:val="99"/>
    <w:unhideWhenUsed/>
    <w:rsid w:val="00C16D8D"/>
    <w:rPr>
      <w:color w:val="0563C1" w:themeColor="hyperlink"/>
      <w:u w:val="single"/>
    </w:rPr>
  </w:style>
  <w:style w:type="character" w:styleId="af">
    <w:name w:val="Unresolved Mention"/>
    <w:basedOn w:val="a0"/>
    <w:uiPriority w:val="99"/>
    <w:semiHidden/>
    <w:unhideWhenUsed/>
    <w:rsid w:val="00C16D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5</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尔里德 李</dc:creator>
  <cp:keywords/>
  <dc:description/>
  <cp:lastModifiedBy>尔里德 李</cp:lastModifiedBy>
  <cp:revision>3</cp:revision>
  <dcterms:created xsi:type="dcterms:W3CDTF">2025-10-21T15:05:00Z</dcterms:created>
  <dcterms:modified xsi:type="dcterms:W3CDTF">2025-10-21T17:54:00Z</dcterms:modified>
</cp:coreProperties>
</file>