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i w:val="1"/>
          <w:color w:val="212529"/>
          <w:sz w:val="23"/>
          <w:szCs w:val="23"/>
          <w:highlight w:val="white"/>
          <w:rtl w:val="0"/>
        </w:rPr>
        <w:t xml:space="preserve">Although your digital Pmod will technically work with any host port on a Digilent FPGA board, there are considerations to make regarding high-speed ports that could improve performance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. The high-speed Pmods use the standard Pmod connector, but have their data signals routed as impedance matched differential pairs for maximum switching speeds. They have 0-Ohm shunts in place of series resistors and therefore allow for much faster switching speeds, but offer no protection against short circuits. </w:t>
      </w:r>
      <w:r w:rsidDel="00000000" w:rsidR="00000000" w:rsidRPr="00000000">
        <w:rPr>
          <w:i w:val="1"/>
          <w:color w:val="212529"/>
          <w:sz w:val="23"/>
          <w:szCs w:val="23"/>
          <w:highlight w:val="white"/>
          <w:rtl w:val="0"/>
        </w:rPr>
        <w:t xml:space="preserve">For this reason, we recommend these high-speed ports only be used if your Pmod requires data signals faster than 10 MHz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, or if the standard ports have been used and additional ports are needed.</w:t>
      </w:r>
      <w:r w:rsidDel="00000000" w:rsidR="00000000" w:rsidRPr="00000000">
        <w:rPr>
          <w:b w:val="1"/>
          <w:color w:val="2125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12529"/>
          <w:sz w:val="27"/>
          <w:szCs w:val="27"/>
          <w:highlight w:val="white"/>
          <w:rtl w:val="0"/>
        </w:rPr>
        <w:t xml:space="preserve">In either case, caution must be taken not to use voltages higher than 3.3 V, or short FPGA-driven pins. 2A/0.1 to 1.5A</w:t>
        <w:br w:type="textWrapping"/>
      </w:r>
      <w:hyperlink r:id="rId6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https://digilent.com/blog/where-to-plug-in-your-pmod-fpga/</w:t>
        </w:r>
      </w:hyperlink>
      <w:r w:rsidDel="00000000" w:rsidR="00000000" w:rsidRPr="00000000">
        <w:rPr>
          <w:b w:val="1"/>
          <w:color w:val="212529"/>
          <w:sz w:val="27"/>
          <w:szCs w:val="27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The high-speed ports will either be labeled as such directly, or will be identified as having 0 Ohm series protection</w:t>
      </w:r>
    </w:p>
    <w:p w:rsidR="00000000" w:rsidDel="00000000" w:rsidP="00000000" w:rsidRDefault="00000000" w:rsidRPr="00000000" w14:paraId="0000000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gilent.com/blog/where-to-plug-in-your-pmod-fpga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