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容量约束运输规划与条件nhpp仿真的急救车辆配置与调度优化"/>
    <w:p>
      <w:pPr>
        <w:pStyle w:val="Title"/>
        <w:spacing w:line="240" w:lineRule="auto" w:after="60"/>
        <w:jc w:val="center"/>
      </w:pPr>
      <w:r>
        <w:rPr>
          <w:rFonts w:ascii="Times New Roman" w:hAnsi="Times New Roman" w:eastAsia="宋体"/>
          <w:b/>
          <w:sz w:val="32"/>
        </w:rPr>
        <w:t>容量约束运输规划与条件NHPP仿真的急救车辆配置与调度优化</w:t>
      </w:r>
    </w:p>
    <w:bookmarkStart w:id="25" w:name="摘-要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摘</w:t>
      </w:r>
      <w:r>
        <w:rPr>
          <w:rFonts w:ascii="Times New Roman" w:hAnsi="Times New Roman" w:eastAsia="黑体"/>
          <w:b/>
          <w:sz w:val="28"/>
        </w:rPr>
        <w:t xml:space="preserve"> </w:t>
      </w:r>
      <w:r>
        <w:rPr>
          <w:rFonts w:hint="eastAsia" w:ascii="Times New Roman" w:hAnsi="Times New Roman" w:eastAsia="黑体"/>
          <w:b/>
          <w:sz w:val="28"/>
        </w:rPr>
        <w:t xml:space="preserve">要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针对某城市10个需求区域、6个候选站点和12辆救护车的配置、调度与事故响应问题，本文建立容量约束规划和随机仿真模型，并以区域中心作为聚合需求代表点计算距离。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任务一建立含需求守恒、服务能力、停车容量和车辆总数限制的混合整数线性规划。由日需求140次、单车日上限12次及全站总容量12辆，证明唯一配车为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。固定配车后求解词典序运输规划，得到平均出车距离0.941569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km；3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km规划覆盖率、含3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min准备时间的严格4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min中心代理覆盖率和潜在3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km覆盖率分别为86.429%、60.714%和97.143%。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任务二用周期双高斯强度的条件非齐次Poisson过程生成日内呼叫，连续模拟车辆、队列和跨午夜任务。比较就近派车A、45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min前瞻保护性派车B和固定备用配置C；30个样本外复制中三者平均响应为5.6142、5.3432、5.5872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min。B较A减少0.2711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min，95%置信区间为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0.3116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0.2305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min，并将P95降至9.9006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min，故以B为日常主方案，以S3保留1辆、7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min释放的C为备用保障方案。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任务三令事故强度升至正常5倍，遍历10区和连续时长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h，以10个自适应仿真节点构造PCHIP响应面。全市平均响应由6.1706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min升至31.6386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min，事故感知预测相对常态预测的各节点置信区间均跨0，仅对事故区产生有限局部改善，表明固定车队下容量压力占主导。</w:t>
      </w:r>
    </w:p>
    <w:p>
      <w:pPr>
        <w:pStyle w:val="BodyText"/>
        <w:snapToGrid w:val="0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关键词：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急救车辆配置；运输型线性规划；条件非齐次Poisson过程；离散事件仿真；应急响应；PCHIP响应面</w:t>
      </w:r>
    </w:p>
    <w:bookmarkEnd w:id="25"/>
    <w:bookmarkStart w:id="26" w:name="一问题重述"/>
    <w:p>
      <w:pPr>
        <w:pStyle w:val="Heading2"/>
        <w:pageBreakBefore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一、问题重述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某城市划分为10个急救需求区域。题目给出各区域中心坐标、面积、人口、日均呼叫量、距最近医院距离，以及6个候选急救站点的位置、最大停车容量和建设成本。全市最多配置12辆救护车，每辆车每天最多执行12次任务，单次任务平均占用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min。车辆接到派车指令前需要3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min准备，平均行驶速度为45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km/h，黄金响应时限为4</w:t>
      </w:r>
      <w:r>
        <w:rPr>
          <w:rFonts w:ascii="Times New Roman" w:hAnsi="Times New Roman" w:eastAsia="宋体"/>
          <w:sz w:val="24"/>
        </w:rPr>
        <w:t xml:space="preserve"> min。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任务一要求确定站点启用、车辆配置和区域服务分配，使日均140次呼叫全部得到覆盖，并兼顾出车距离和规划服务覆盖。任务二要求利用历史需求信息构造24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呼叫过程，设计就近派车和备用车辆配置，计算优化后的平均响应时间。任务三要求在某一区域呼叫强度临时升至正常5倍时，研究事故区域与连续持续时间对系统的影响，并给出不增加车辆条件下的动态应急派车方案。</w:t>
      </w:r>
    </w:p>
    <w:bookmarkEnd w:id="26"/>
    <w:bookmarkStart w:id="33" w:name="二问题分析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二、问题分析</w:t>
      </w:r>
    </w:p>
    <w:bookmarkStart w:id="27" w:name="任务一分析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2.1 </w:t>
      </w:r>
      <w:r>
        <w:rPr>
          <w:rFonts w:hint="eastAsia" w:ascii="Times New Roman" w:hAnsi="Times New Roman" w:eastAsia="宋体"/>
          <w:b/>
          <w:sz w:val="24"/>
        </w:rPr>
        <w:t xml:space="preserve">任务一分析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要求在车辆总数、单车日服务上限及站点停车容量约束下覆盖全部需求。因此应先检验系统服务能力的可行性，再进行距离与覆盖优化。容量分析表明，需求守恒约束要求12辆车和6个站点全部投入使用，站点启用与车辆配置由可行性条件唯一确定；决策变量由此归结为日均140次呼叫在6个站点间的服务分配量。该问题具有标准运输结构，可用连续变量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表示长期平均服务量。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平均出车距离与时限覆盖率分别属于距离型指标和比例型指标，直接加权需要额外确定归一化尺度与偏好系数。相关研究表明，救护车选址中的覆盖目标与响应时间目标可能对应不同的配置结果</w:t>
      </w:r>
      <w:r>
        <w:rPr>
          <w:rFonts w:ascii="Times New Roman" w:hAnsi="Times New Roman" w:eastAsia="宋体"/>
          <w:sz w:val="24"/>
          <w:vertAlign w:val="superscript"/>
        </w:rPr>
        <w:t xml:space="preserve">[2]</w:t>
      </w:r>
      <w:r>
        <w:rPr>
          <w:rFonts w:hint="eastAsia" w:ascii="Times New Roman" w:hAnsi="Times New Roman" w:eastAsia="宋体"/>
          <w:sz w:val="24"/>
        </w:rPr>
        <w:t xml:space="preserve">。据此，本文采用词典序目标：首先最小化加权出车距离，随后在距离最优解集合内提高3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km规划服务覆盖率，从而保证距离目标的最优性。</w:t>
      </w:r>
    </w:p>
    <w:bookmarkEnd w:id="27"/>
    <w:bookmarkStart w:id="28" w:name="任务二分析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2.2 </w:t>
      </w:r>
      <w:r>
        <w:rPr>
          <w:rFonts w:hint="eastAsia" w:ascii="Times New Roman" w:hAnsi="Times New Roman" w:eastAsia="宋体"/>
          <w:b/>
          <w:sz w:val="24"/>
        </w:rPr>
        <w:t xml:space="preserve">任务二分析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题目仅给出区域日均呼叫量，未提供逐时到达记录。考虑到EMS呼叫率具有时变特征，本文采用时变计数到达过程描述呼叫流</w:t>
      </w:r>
      <w:r>
        <w:rPr>
          <w:rFonts w:ascii="Times New Roman" w:hAnsi="Times New Roman" w:eastAsia="宋体"/>
          <w:sz w:val="24"/>
          <w:vertAlign w:val="superscript"/>
        </w:rPr>
        <w:t xml:space="preserve">[1]</w:t>
      </w:r>
      <w:r>
        <w:rPr>
          <w:rFonts w:hint="eastAsia" w:ascii="Times New Roman" w:hAnsi="Times New Roman" w:eastAsia="宋体"/>
          <w:sz w:val="24"/>
        </w:rPr>
        <w:t xml:space="preserve">，并以周期双高斯函数构造上午、傍晚双峰的日内强度情景。每日呼叫总数固定为140次，随机性体现在日内到达时刻和区域标记。车辆任务可能跨越午夜，因此采用连续多日仿真；每日24:00只重置新日接单计数，队列、车辆忙闲状态及前一日未完成任务均连续继承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单纯就近派车未考虑关键车辆离站对后续需求的影响，而对固定车辆实施无条件保护可能增加当前呼叫的响应时间。策略B以未来45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期望累计响应损失度量车辆离站的空间机会成本，并限制当前呼叫的额外响应时间。为满足备用车辆配置要求，策略C赋予指定车辆固定备用角色；当常规车辆预计响应超过释放阈值且备用车响应更快时，解除备用保护。策略B用于日常保护性派车，策略C用于评价显式备用配置，两者分别建模和比较。</w:t>
      </w:r>
    </w:p>
    <w:bookmarkEnd w:id="28"/>
    <w:bookmarkStart w:id="32" w:name="任务三分析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2.3 </w:t>
      </w:r>
      <w:r>
        <w:rPr>
          <w:rFonts w:hint="eastAsia" w:ascii="Times New Roman" w:hAnsi="Times New Roman" w:eastAsia="宋体"/>
          <w:b/>
          <w:sz w:val="24"/>
        </w:rPr>
        <w:t xml:space="preserve">任务三分析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任务三在任务二确定的12辆车和派车机制下研究短时需求突增，不涉及重新选址或增配车辆。事故持续时间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定义在连续区间</w:t>
      </w:r>
      <m:oMath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h，有限仿真节点仅用于构造连续响应面的数值实验。由于最不利事故起点随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变化，本文对每个持续时间分别确定日内强度积分最大的窗口。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动态调整沿用任务二的评分结构，并在事故识别后修正未来45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min的需求强度预测，以估计事故感知预测的边际作用。常态预测模式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与事故感知模式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采用共同随机数，并在每个随机种子内计算成对差，以降低随机波动对策略比较的影响。事故区与非事故区的效果按实际呼叫数汇总，无呼叫情景保留为零权重。由于题目未给出事故持续时间分布，本文不对不同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的结果作等权汇总。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717542" cy="3815942"/>
            <wp:effectExtent b="0" l="0" r="0" t="0"/>
            <wp:docPr descr="图1 需求区域与候选急救站点的空间分布" title="图1" id="30" name="Picture"/>
            <a:graphic>
              <a:graphicData uri="http://schemas.openxmlformats.org/drawingml/2006/picture">
                <pic:pic>
                  <pic:nvPicPr>
                    <pic:cNvPr descr="../../figures/raw_q1_spati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815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图1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需求区域与候选急救站点的空间分布</w:t>
      </w:r>
    </w:p>
    <w:bookmarkEnd w:id="32"/>
    <w:bookmarkEnd w:id="33"/>
    <w:bookmarkStart w:id="34" w:name="三模型假设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三、模型假设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区域中心作为题目指定的聚合代表点，区域日均需求集中于该点计算距离；该设定用于空间近似，不限定实际呼叫位置。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站点与区域之间采用欧氏距离，车辆平均速度恒为45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km/h，不考虑路网拥堵和方向差异。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响应时间定义为呼叫到达系统至救护车到达现场，等于等待、3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min准备和行驶时间之和，不含现场处置与送医。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车辆接受任务后连续占用45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min，任务结束后返回所属站点；45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min不再额外叠加准备、去程、现场和返程。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未派呼叫进入全市统一FCFS队列，后到呼叫不能越过队首。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每辆车在每个日历日最多接受12次任务；计数按接受派车时刻归属，车辆忙闲和队列跨日继承。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最近医院距离不作为站点到现场的出车距离，也不改变派车优化；只用于补充理想行驶链条指标。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双高斯日内强度为基于日均呼叫量构造的情景设定，不属于逐时历史数据拟合结果。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任务三事故区在事故期的总强度为日常值5倍，其他区域保持日常强度；事故被视为在开始时即可识别。</w:t>
      </w:r>
    </w:p>
    <w:p>
      <w:pPr>
        <w:pStyle w:val="BodyText"/>
        <w:numPr>
          <w:ilvl w:val="0"/>
          <w:numId w:val="1001"/>
        </w:numPr>
        <w:snapToGrid w:val="0"/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任务三只评价事故期到达呼叫；事故结束时尚未派出的呼叫继续取得完整响应，事故后的新呼叫不进入任务三指标。</w:t>
      </w:r>
    </w:p>
    <w:bookmarkEnd w:id="34"/>
    <w:bookmarkStart w:id="35" w:name="四符号说明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四、符号说明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论文中的主要符号见表1。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表1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主要符号及含义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565"/>
        <w:gridCol w:w="5739"/>
        <w:gridCol w:w="1566"/>
      </w:tblGrid>
      <w:tr>
        <w:trPr>
          <w:tblHeader w:val="true"/>
        </w:trPr>
        <w:tc>
          <w:tcPr>
            <w:tcW w:type="dxa" w:w="1565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符号</w:t>
            </w:r>
          </w:p>
        </w:tc>
        <w:tc>
          <w:tcPr>
            <w:tcW w:type="dxa" w:w="573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含义</w:t>
            </w:r>
          </w:p>
        </w:tc>
        <w:tc>
          <w:tcPr>
            <w:tcW w:type="dxa" w:w="1566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单位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需求区域、候选站点索引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区域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日均呼叫量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次/日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区域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代表点至站点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的欧氏距离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km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区域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由站点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长期承担的日均呼叫量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次/日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站点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配车数、是否启用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辆，0/1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km规划服务半径、0.75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km严格中心代理半径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km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e</m:t>
                  </m:r>
                </m:sub>
                <m:sup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e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呼叫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等待时间、响应时间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min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归一化日内密度、区域时变强度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1/h，次/h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派出车辆</w:t>
            </w:r>
            <m:oMath>
              <m:r>
                <m:t>a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造成的未来45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min期望累计响应损失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min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日负荷惩罚权重、当前额外响应阈值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min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τ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站点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固定备用数、备用释放阈值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辆，min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事故持续时间、持续时间相关最不利起点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常态预测模式、事故感知预测模式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</w:t>
            </w:r>
          </w:p>
        </w:tc>
      </w:tr>
      <w:tr>
        <w:trPr/>
        <w:tc>
          <w:tcPr>
            <w:tcW w:type="dxa" w:w="15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rPr>
                  <m:scr m:val="script"/>
                  <m:sty m:val="p"/>
                </m:rPr>
                <m:t>H</m:t>
              </m:r>
            </m:oMath>
          </w:p>
        </w:tc>
        <w:tc>
          <w:tcPr>
            <w:tcW w:type="dxa" w:w="573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自适应随机仿真时长节点集合</w:t>
            </w:r>
          </w:p>
        </w:tc>
        <w:tc>
          <w:tcPr>
            <w:tcW w:type="dxa" w:w="156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</w:t>
            </w:r>
          </w:p>
        </w:tc>
      </w:tr>
    </w:tbl>
    <w:bookmarkEnd w:id="35"/>
    <w:bookmarkStart w:id="52" w:name="五任务一容量约束站点与服务分配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五、任务一：容量约束站点与服务分配</w:t>
      </w:r>
    </w:p>
    <w:bookmarkStart w:id="36" w:name="距离与覆盖口径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5.1 </w:t>
      </w:r>
      <w:r>
        <w:rPr>
          <w:rFonts w:hint="eastAsia" w:ascii="Times New Roman" w:hAnsi="Times New Roman" w:eastAsia="宋体"/>
          <w:b/>
          <w:sz w:val="24"/>
        </w:rPr>
        <w:t xml:space="preserve">距离与覆盖口径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由区域中心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和站点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计算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任务一的规划服务半径按4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min全部用于名义行驶计算：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60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该半径未计入等待与准备时间，表示规划服务覆盖。若在忽略等待时间的条件下将3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min准备时间计入4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min时限，可用于行驶的时间为1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min，相应的严格中心代理半径为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>
                <m:t>60</m:t>
              </m:r>
            </m:den>
          </m:f>
          <m:r>
            <m:rPr>
              <m:sty m:val="p"/>
            </m:rPr>
            <m:t>=</m:t>
          </m:r>
          <m:r>
            <m:t>0.75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bookmarkEnd w:id="36"/>
    <w:bookmarkStart w:id="37" w:name="混合整数线性规划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5.2 </w:t>
      </w:r>
      <w:r>
        <w:rPr>
          <w:rFonts w:hint="eastAsia" w:ascii="Times New Roman" w:hAnsi="Times New Roman" w:eastAsia="宋体"/>
          <w:b/>
          <w:sz w:val="24"/>
        </w:rPr>
        <w:t xml:space="preserve">混合整数线性规划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设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为区域</w:t>
      </w:r>
      <m:oMath>
        <m:r>
          <m:t>i</m:t>
        </m:r>
      </m:oMath>
      <w:r>
        <w:rPr>
          <w:rFonts w:hint="eastAsia" w:ascii="Times New Roman" w:hAnsi="Times New Roman" w:eastAsia="宋体"/>
          <w:sz w:val="24"/>
        </w:rPr>
        <w:t xml:space="preserve">由站点</w:t>
      </w:r>
      <m:oMath>
        <m:r>
          <m:t>j</m:t>
        </m:r>
      </m:oMath>
      <w:r>
        <w:rPr>
          <w:rFonts w:hint="eastAsia" w:ascii="Times New Roman" w:hAnsi="Times New Roman" w:eastAsia="宋体"/>
          <w:sz w:val="24"/>
        </w:rPr>
        <w:t xml:space="preserve">承担的日均呼叫量，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为站点</w:t>
      </w:r>
      <m:oMath>
        <m:r>
          <m:t>j</m:t>
        </m:r>
      </m:oMath>
      <w:r>
        <w:rPr>
          <w:rFonts w:hint="eastAsia" w:ascii="Times New Roman" w:hAnsi="Times New Roman" w:eastAsia="宋体"/>
          <w:sz w:val="24"/>
        </w:rPr>
        <w:t xml:space="preserve">配车数，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表示站点是否启用。第一层目标为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D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约束包括需求守恒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站点服务能力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12</m:t>
          </m:r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车辆上限和站点启用联动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以及全市车辆总数限制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变量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表示长期平均服务流量，允许连续取值，不对应单次呼叫的0-1派车决策。</w:t>
      </w:r>
    </w:p>
    <w:bookmarkEnd w:id="37"/>
    <w:bookmarkStart w:id="38" w:name="六站满配的必要性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5.3 </w:t>
      </w:r>
      <w:r>
        <w:rPr>
          <w:rFonts w:hint="eastAsia" w:ascii="Times New Roman" w:hAnsi="Times New Roman" w:eastAsia="宋体"/>
          <w:b/>
          <w:sz w:val="24"/>
        </w:rPr>
        <w:t xml:space="preserve">六站满配的必要性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由需求守恒和站点容量约束求和，得到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140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≤</m:t>
          </m:r>
          <m:r>
            <m:t>12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因此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≥</m:t>
        </m:r>
        <m:r>
          <m:t>11.667</m:t>
        </m:r>
      </m:oMath>
      <w:r>
        <w:rPr>
          <w:rFonts w:hint="eastAsia" w:ascii="Times New Roman" w:hAnsi="Times New Roman" w:eastAsia="宋体"/>
          <w:sz w:val="24"/>
        </w:rPr>
        <w:t xml:space="preserve">。由于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为整数且总车数不超过12，必有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宋体"/>
          <w:sz w:val="24"/>
        </w:rPr>
        <w:t xml:space="preserve">。另一方面，各站停车容量之和为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逐站又满足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，故只有每一站达到上限才可能满足总和12，即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且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。关闭任一站或减少一辆车后，全市最多配置11辆车，日服务能力上限为132次，低于140次日需求。因此，六站满配是满足需求守恒的必要条件。</w:t>
      </w:r>
    </w:p>
    <w:bookmarkEnd w:id="38"/>
    <w:bookmarkStart w:id="42" w:name="运输型线性规划与词典序覆盖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5.4 </w:t>
      </w:r>
      <w:r>
        <w:rPr>
          <w:rFonts w:hint="eastAsia" w:ascii="Times New Roman" w:hAnsi="Times New Roman" w:eastAsia="宋体"/>
          <w:b/>
          <w:sz w:val="24"/>
        </w:rPr>
        <w:t xml:space="preserve">运输型线性规划与词典序覆盖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固定配车后，站点日容量为</w:t>
      </w:r>
      <m:oMath>
        <m:r>
          <m:rPr>
            <m:sty m:val="p"/>
          </m:rPr>
          <m:t>(</m:t>
        </m:r>
        <m:r>
          <m:t>36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，模型约化为容量约束运输型线性规划。先求得最小距离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宋体"/>
          <w:sz w:val="24"/>
        </w:rPr>
        <w:t xml:space="preserve">，再定义规划覆盖指示量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并在约束</w:t>
      </w:r>
      <m:oMath>
        <m:r>
          <m:t>D</m:t>
        </m:r>
        <m:r>
          <m:rPr>
            <m:sty m:val="p"/>
          </m:rPr>
          <m:t>≤</m:t>
        </m:r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ε</m:t>
        </m:r>
      </m:oMath>
      <w:r>
        <w:rPr>
          <w:rFonts w:hint="eastAsia" w:ascii="Times New Roman" w:hAnsi="Times New Roman" w:eastAsia="宋体"/>
          <w:sz w:val="24"/>
        </w:rPr>
        <w:t xml:space="preserve">下求解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s</m:t>
                  </m:r>
                </m:sup>
              </m:sSubSup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m:oMath>
        <m:r>
          <m:t>ε</m:t>
        </m:r>
      </m:oMath>
      <w:r>
        <w:rPr>
          <w:rFonts w:hint="eastAsia" w:ascii="Times New Roman" w:hAnsi="Times New Roman" w:eastAsia="宋体"/>
          <w:sz w:val="24"/>
        </w:rPr>
        <w:t xml:space="preserve">只用于求解器浮点容差。第二层不得以增加出车距离为代价换取覆盖，最终服务分配见图2。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5062728" cy="3410291"/>
            <wp:effectExtent b="0" l="0" r="0" t="0"/>
            <wp:docPr descr="图2 距离最优解中的站点-区域服务分配" title="图2" id="40" name="Picture"/>
            <a:graphic>
              <a:graphicData uri="http://schemas.openxmlformats.org/drawingml/2006/picture">
                <pic:pic>
                  <pic:nvPicPr>
                    <pic:cNvPr descr="../../figures/process_q1_assignment_heatma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28" cy="3410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图2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距离最优解中的站点-区域服务分配</w:t>
      </w:r>
    </w:p>
    <w:bookmarkEnd w:id="42"/>
    <w:bookmarkStart w:id="43" w:name="算法设计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5.5 </w:t>
      </w:r>
      <w:r>
        <w:rPr>
          <w:rFonts w:hint="eastAsia" w:ascii="Times New Roman" w:hAnsi="Times New Roman" w:eastAsia="宋体"/>
          <w:b/>
          <w:sz w:val="24"/>
        </w:rPr>
        <w:t xml:space="preserve">算法设计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任务一采用“容量判定—词典序运输规划—结果核验”的确定性求解流程。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表2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任务一算法步骤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281"/>
        <w:gridCol w:w="6589"/>
      </w:tblGrid>
      <w:tr>
        <w:trPr>
          <w:tblHeader w:val="true"/>
        </w:trPr>
        <w:tc>
          <w:tcPr>
            <w:tcW w:type="dxa" w:w="2281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步骤</w:t>
            </w:r>
          </w:p>
        </w:tc>
        <w:tc>
          <w:tcPr>
            <w:tcW w:type="dxa" w:w="658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具体内容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1：构造距离与覆盖矩阵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根据区域中心与候选站点坐标计算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，生成3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km规划覆盖和0.75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km严格中心代理覆盖的指示矩阵。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2：检验配车可行性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汇总日均需求、单车日服务上限和站点停车容量，由需求守恒与容量约束确定全市最低车辆数，并检查各站容量组合。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3：固定站点与车辆配置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根据容量判定结果设置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和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，将原混合整数模型约化为容量约束运输规划。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4：求解第一层距离目标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在需求守恒和站点服务能力约束下最小化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，得到最优值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宋体"/>
                <w:sz w:val="21"/>
              </w:rPr>
              <w:t xml:space="preserve">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5：求解第二层覆盖目标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增加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约束，在距离最优解集合内最大化3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km规划服务覆盖量，获得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 w:eastAsia="宋体"/>
                <w:sz w:val="21"/>
              </w:rPr>
              <w:t xml:space="preserve">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6：核验并输出结果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检查需求残差、容量超限、车辆总数和站点负荷，计算平均出车距离及三种覆盖率，输出配车与非零服务分配。</w:t>
            </w:r>
          </w:p>
        </w:tc>
      </w:tr>
    </w:tbl>
    <w:bookmarkEnd w:id="43"/>
    <w:bookmarkStart w:id="47" w:name="求解结果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5.6 </w:t>
      </w:r>
      <w:r>
        <w:rPr>
          <w:rFonts w:hint="eastAsia" w:ascii="Times New Roman" w:hAnsi="Times New Roman" w:eastAsia="宋体"/>
          <w:b/>
          <w:sz w:val="24"/>
        </w:rPr>
        <w:t xml:space="preserve">求解结果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唯一车辆配置和优化后的站点负荷见表3。S2保留4次/日余量，其余站点达到日服务能力上限；图3进一步比较停车上限、配车和实际分配负荷。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表3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站点车辆配置与日服务负荷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064"/>
        <w:gridCol w:w="1064"/>
        <w:gridCol w:w="1419"/>
        <w:gridCol w:w="1774"/>
        <w:gridCol w:w="1774"/>
        <w:gridCol w:w="1775"/>
      </w:tblGrid>
      <w:tr>
        <w:trPr>
          <w:tblHeader w:val="true"/>
        </w:trPr>
        <w:tc>
          <w:tcPr>
            <w:tcW w:type="dxa" w:w="1064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站点</w:t>
            </w:r>
          </w:p>
        </w:tc>
        <w:tc>
          <w:tcPr>
            <w:tcW w:type="dxa" w:w="1064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最大停车数</w:t>
            </w:r>
          </w:p>
        </w:tc>
        <w:tc>
          <w:tcPr>
            <w:tcW w:type="dxa" w:w="141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配车数</w:t>
            </w:r>
          </w:p>
        </w:tc>
        <w:tc>
          <w:tcPr>
            <w:tcW w:type="dxa" w:w="1774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日服务能力</w:t>
            </w:r>
          </w:p>
        </w:tc>
        <w:tc>
          <w:tcPr>
            <w:tcW w:type="dxa" w:w="1774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分配负荷</w:t>
            </w:r>
          </w:p>
        </w:tc>
        <w:tc>
          <w:tcPr>
            <w:tcW w:type="dxa" w:w="1775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容量余量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S1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S2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S3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S4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S5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/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S6</w:t>
            </w:r>
          </w:p>
        </w:tc>
        <w:tc>
          <w:tcPr>
            <w:tcW w:type="dxa" w:w="1064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1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4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tcPr>
            <w:tcW w:type="dxa" w:w="177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717542" cy="2805024"/>
            <wp:effectExtent b="0" l="0" r="0" t="0"/>
            <wp:docPr descr="图3 各站停车上限、配车和分配负荷" title="图3" id="45" name="Picture"/>
            <a:graphic>
              <a:graphicData uri="http://schemas.openxmlformats.org/drawingml/2006/picture">
                <pic:pic>
                  <pic:nvPicPr>
                    <pic:cNvPr descr="../../figures/result_q1_site_capac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280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图3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各站停车上限、配车和分配负荷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表4给出非零服务分配。区域7由S2、S3、S4和S5共同承担，区域8由S4和S6承担，区域9由S1和S2承担，体现了容量约束下优先就近服务并允许跨站分流的运输结构。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表4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优化后的非零区域服务分配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957"/>
        <w:gridCol w:w="2957"/>
        <w:gridCol w:w="2956"/>
      </w:tblGrid>
      <w:tr>
        <w:trPr>
          <w:tblHeader w:val="true"/>
        </w:trPr>
        <w:tc>
          <w:tcPr>
            <w:tcW w:type="dxa" w:w="2957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区域</w:t>
            </w:r>
          </w:p>
        </w:tc>
        <w:tc>
          <w:tcPr>
            <w:tcW w:type="dxa" w:w="2957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站点及分配量（次/日）</w:t>
            </w:r>
          </w:p>
        </w:tc>
        <w:tc>
          <w:tcPr>
            <w:tcW w:type="dxa" w:w="2956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区域需求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S1: 28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S2: 15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S3: 18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S4: 10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S5: 8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S6: 6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S2: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4；S3: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6；S4: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6；S5:</w:t>
            </w:r>
            <w:r>
              <w:rPr>
                <w:rFonts w:ascii="Times New Roman" w:hAnsi="Times New Roman" w:eastAsia="宋体"/>
                <w:sz w:val="21"/>
              </w:rPr>
              <w:t xml:space="preserve"> 4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S4: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4；S6:</w:t>
            </w:r>
            <w:r>
              <w:rPr>
                <w:rFonts w:ascii="Times New Roman" w:hAnsi="Times New Roman" w:eastAsia="宋体"/>
                <w:sz w:val="21"/>
              </w:rPr>
              <w:t xml:space="preserve"> 18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S1: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8；S2:</w:t>
            </w:r>
            <w:r>
              <w:rPr>
                <w:rFonts w:ascii="Times New Roman" w:hAnsi="Times New Roman" w:eastAsia="宋体"/>
                <w:sz w:val="21"/>
              </w:rPr>
              <w:t xml:space="preserve"> 1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</w:tr>
      <w:tr>
        <w:trPr/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tcPr>
            <w:tcW w:type="dxa" w:w="2957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S4: 4</w:t>
            </w:r>
          </w:p>
        </w:tc>
        <w:tc>
          <w:tcPr>
            <w:tcW w:type="dxa" w:w="295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</w:tr>
    </w:tbl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求解器三阶段状态均正常，需求最大残差和容量最大超限均为0。主要距离指标为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131.819720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r>
            <m:rPr>
              <m:sty m:val="p"/>
            </m:rPr>
            <m:t>次</m:t>
          </m:r>
          <m:r>
            <m:rPr>
              <m:sty m:val="p"/>
            </m:rPr>
            <m:t>/</m:t>
          </m:r>
          <m:r>
            <m:rPr>
              <m:sty m:val="p"/>
            </m:rPr>
            <m:t>日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‾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140</m:t>
              </m:r>
            </m:den>
          </m:f>
          <m:r>
            <m:rPr>
              <m:sty m:val="p"/>
            </m:rPr>
            <m:t>=</m:t>
          </m:r>
          <m:r>
            <m:t>0.941569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若暂不考虑车辆忙碌与排队，静态响应下界为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60</m:t>
              </m:r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num>
            <m:den>
              <m:r>
                <m:t>45</m:t>
              </m:r>
            </m:den>
          </m:f>
          <m:r>
            <m:rPr>
              <m:sty m:val="p"/>
            </m:rPr>
            <m:t>=</m:t>
          </m:r>
          <m:r>
            <m:t>4.255426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该值是由长期平均距离推得的静态下界，与任务二基于逐呼叫仿真计算的平均响应时间含义不同。</w:t>
      </w:r>
    </w:p>
    <w:bookmarkEnd w:id="47"/>
    <w:bookmarkStart w:id="51" w:name="覆盖率解释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5.7 </w:t>
      </w:r>
      <w:r>
        <w:rPr>
          <w:rFonts w:hint="eastAsia" w:ascii="Times New Roman" w:hAnsi="Times New Roman" w:eastAsia="宋体"/>
          <w:b/>
          <w:sz w:val="24"/>
        </w:rPr>
        <w:t xml:space="preserve">覆盖率解释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实际运输分配中有121次/日位于3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km服务半径内，因此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140</m:t>
              </m:r>
            </m:den>
          </m:f>
          <m:r>
            <m:rPr>
              <m:sty m:val="p"/>
            </m:rPr>
            <m:t>=</m:t>
          </m:r>
          <m:r>
            <m:t>86.429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若只检查某区域3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km内是否存在站点，而忽略容量和实际分配，可覆盖136次/日，故潜在覆盖为97.143%。严格0.75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km中心代理覆盖只包含与六站坐标重合的区域1至6，共85次/日，即60.714%。图4集中比较三种口径。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487418" cy="2458284"/>
            <wp:effectExtent b="0" l="0" r="0" t="0"/>
            <wp:docPr descr="图4 三种覆盖口径的差异" title="图4" id="49" name="Picture"/>
            <a:graphic>
              <a:graphicData uri="http://schemas.openxmlformats.org/drawingml/2006/picture">
                <pic:pic>
                  <pic:nvPicPr>
                    <pic:cNvPr descr="../../figures/result_q1_coverag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418" cy="2458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图4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三种覆盖口径的差异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任务一的最终方案为：启用全部6个站点，配车方案为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，并按表4进行长期服务分流。规划阶段的可执行3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km服务覆盖率为86.429%；计入准备时间后的严格中心代理覆盖率为60.714%，忽略站点容量时的空间潜在覆盖率为97.143%。后两项用于诊断空间覆盖条件，不替代任务二的逐呼叫实际响应率。</w:t>
      </w:r>
    </w:p>
    <w:bookmarkEnd w:id="51"/>
    <w:bookmarkEnd w:id="52"/>
    <w:bookmarkStart w:id="77" w:name="六任务二连续多日随机呼叫与车辆调度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六、任务二：连续多日随机呼叫与车辆调度</w:t>
      </w:r>
    </w:p>
    <w:bookmarkStart w:id="56" w:name="给定日总量的条件nhpp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6.1 </w:t>
      </w:r>
      <w:r>
        <w:rPr>
          <w:rFonts w:hint="eastAsia" w:ascii="Times New Roman" w:hAnsi="Times New Roman" w:eastAsia="宋体"/>
          <w:b/>
          <w:sz w:val="24"/>
        </w:rPr>
        <w:t xml:space="preserve">给定日总量的条件NHPP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设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为24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h周期密度，区域</w:t>
      </w:r>
      <m:oMath>
        <m:r>
          <m:t>i</m:t>
        </m:r>
      </m:oMath>
      <w:r>
        <w:rPr>
          <w:rFonts w:hint="eastAsia" w:ascii="Times New Roman" w:hAnsi="Times New Roman" w:eastAsia="宋体"/>
          <w:sz w:val="24"/>
        </w:rPr>
        <w:t xml:space="preserve">参考强度为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24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为保持题目给定的140次/日需求规模，对每日总事件数施加条件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140</m:t>
        </m:r>
      </m:oMath>
      <w:r>
        <w:rPr>
          <w:rFonts w:hint="eastAsia" w:ascii="Times New Roman" w:hAnsi="Times New Roman" w:eastAsia="宋体"/>
          <w:sz w:val="24"/>
        </w:rPr>
        <w:t xml:space="preserve">。给定事件数后，当天140个时刻独立服从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，区域标签独立满足</w:t>
      </w:r>
      <m:oMath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140</m:t>
        </m:r>
      </m:oMath>
      <w:r>
        <w:rPr>
          <w:rFonts w:hint="eastAsia" w:ascii="Times New Roman" w:hAnsi="Times New Roman" w:eastAsia="宋体"/>
          <w:sz w:val="24"/>
        </w:rPr>
        <w:t xml:space="preserve">。区域日计数因此服从多项分布，期望仍为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定义周期高斯核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未归一化强度与归一化密度分别为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;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;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24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采用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宋体"/>
          <w:sz w:val="24"/>
        </w:rPr>
        <w:t xml:space="preserve">，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，形成上午与傍晚双峰。图5给出24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h密度与小时概率。该强度曲线用于描述缺少逐时数据条件下的日内变化情景，不属于历史数据拟合结果。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947666" cy="2864708"/>
            <wp:effectExtent b="0" l="0" r="0" t="0"/>
            <wp:docPr descr="图5 周期双高斯条件NHPP日内强度" title="图5" id="54" name="Picture"/>
            <a:graphic>
              <a:graphicData uri="http://schemas.openxmlformats.org/drawingml/2006/picture">
                <pic:pic>
                  <pic:nvPicPr>
                    <pic:cNvPr descr="../../figures/raw_q2_nhpp_intens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666" cy="286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图5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周期双高斯条件NHPP日内强度</w:t>
      </w:r>
    </w:p>
    <w:bookmarkEnd w:id="56"/>
    <w:bookmarkStart w:id="57" w:name="连续多日离散事件系统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6.2 </w:t>
      </w:r>
      <w:r>
        <w:rPr>
          <w:rFonts w:hint="eastAsia" w:ascii="Times New Roman" w:hAnsi="Times New Roman" w:eastAsia="宋体"/>
          <w:b/>
          <w:sz w:val="24"/>
        </w:rPr>
        <w:t xml:space="preserve">连续多日离散事件系统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12辆车固定归属六站。每辆车记录所属站、下一次可用时刻、当日已接受任务数及备用身份。离散事件仿真适合在静态常驻配置下同时刻画随机需求、车辆忙闲和排队过程</w:t>
      </w:r>
      <w:r>
        <w:rPr>
          <w:rFonts w:ascii="Times New Roman" w:hAnsi="Times New Roman" w:eastAsia="宋体"/>
          <w:sz w:val="24"/>
          <w:vertAlign w:val="superscript"/>
        </w:rPr>
        <w:t xml:space="preserve">[3]</w:t>
      </w:r>
      <w:r>
        <w:rPr>
          <w:rFonts w:hint="eastAsia" w:ascii="Times New Roman" w:hAnsi="Times New Roman" w:eastAsia="宋体"/>
          <w:sz w:val="24"/>
        </w:rPr>
        <w:t xml:space="preserve">。呼叫按到达时间进入全市FCFS队列，只有队首拥有派车权。车辆在时刻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接受任务后，其响应时间为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45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并从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到</w:t>
      </w:r>
      <m:oMath>
        <m:sSub>
          <m:e>
            <m:r>
              <m:t>s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45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min不可派。任务结束后回所属站。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同一时刻依次处理午夜计数切换、车辆任务完成、呼叫到达和FCFS派车。24:00只重置新日接受任务计数，车辆忙闲、剩余占用和队列全部继承。最后统计日24:00停止生成新呼叫后，继续处理已经到达的呼叫直至全部获得完整响应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个复制固定预热30天。预热期只删除指标，不重置车辆或队列；第30天遗留状态继续影响第31天。参数筛选采用3个复制、每个统计7天；最终评价采用30个新复制、每个统计30天。筛选种子和最终评价种子不重叠，同一复制中的A、B、C共享完全相同的呼叫流。</w:t>
      </w:r>
    </w:p>
    <w:bookmarkEnd w:id="57"/>
    <w:bookmarkStart w:id="58" w:name="策略a全局就近派车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6.3 </w:t>
      </w:r>
      <w:r>
        <w:rPr>
          <w:rFonts w:hint="eastAsia" w:ascii="Times New Roman" w:hAnsi="Times New Roman" w:eastAsia="宋体"/>
          <w:b/>
          <w:sz w:val="24"/>
        </w:rPr>
        <w:t xml:space="preserve">策略A：全局就近派车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对队首呼叫</w:t>
      </w:r>
      <m:oMath>
        <m:r>
          <m:t>e</m:t>
        </m:r>
      </m:oMath>
      <w:r>
        <w:rPr>
          <w:rFonts w:hint="eastAsia" w:ascii="Times New Roman" w:hAnsi="Times New Roman" w:eastAsia="宋体"/>
          <w:sz w:val="24"/>
        </w:rPr>
        <w:t xml:space="preserve">，候选集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包含当前空闲且接受该任务后仍不超过当日12次上限的车辆。策略A选择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sSub>
            <m:e>
              <m:r>
                <m:t>d</m:t>
              </m:r>
            </m:e>
            <m:sub>
              <m:r>
                <m:t>i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同距离时依次选择当日接单较少、站点编号较小、车辆编号较小的车辆。A允许跨站支援，但任务结束后车辆仍返回所属站点。</w:t>
      </w:r>
    </w:p>
    <w:bookmarkEnd w:id="58"/>
    <w:bookmarkStart w:id="62" w:name="策略b45-min前瞻保护性派车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6.4 </w:t>
      </w:r>
      <w:r>
        <w:rPr>
          <w:rFonts w:hint="eastAsia" w:ascii="Times New Roman" w:hAnsi="Times New Roman" w:eastAsia="宋体"/>
          <w:b/>
          <w:sz w:val="24"/>
        </w:rPr>
        <w:t xml:space="preserve">策略B：45</w:t>
      </w:r>
      <w:r>
        <w:rPr>
          <w:rFonts w:ascii="Times New Roman" w:hAnsi="Times New Roman" w:eastAsia="宋体"/>
          <w:b/>
          <w:sz w:val="24"/>
        </w:rPr>
        <w:t xml:space="preserve"> </w:t>
      </w:r>
      <w:r>
        <w:rPr>
          <w:rFonts w:hint="eastAsia" w:ascii="Times New Roman" w:hAnsi="Times New Roman" w:eastAsia="宋体"/>
          <w:b/>
          <w:sz w:val="24"/>
        </w:rPr>
        <w:t xml:space="preserve">min前瞻保护性派车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候选车辆</w:t>
      </w:r>
      <m:oMath>
        <m:r>
          <m:t>a</m:t>
        </m:r>
      </m:oMath>
      <w:r>
        <w:rPr>
          <w:rFonts w:hint="eastAsia" w:ascii="Times New Roman" w:hAnsi="Times New Roman" w:eastAsia="宋体"/>
          <w:sz w:val="24"/>
        </w:rPr>
        <w:t xml:space="preserve">对当前呼叫的无等待响应为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相对最近候选车的当前额外代价为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sSubSup>
            <m:e>
              <m:r>
                <m:t>T</m:t>
              </m:r>
            </m:e>
            <m:sub>
              <m:r>
                <m:t>e</m:t>
              </m:r>
              <m:r>
                <m:t>b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仅保留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e</m:t>
            </m:r>
            <m:r>
              <m:t>a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 w:ascii="Times New Roman" w:hAnsi="Times New Roman" w:eastAsia="宋体"/>
          <w:sz w:val="24"/>
        </w:rPr>
        <w:t xml:space="preserve">的车辆，防止为了未来覆盖而明显延误当前患者。设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为当前车辆状态，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为派出车辆</w:t>
      </w:r>
      <m:oMath>
        <m:r>
          <m:t>a</m:t>
        </m:r>
      </m:oMath>
      <w:r>
        <w:rPr>
          <w:rFonts w:hint="eastAsia" w:ascii="Times New Roman" w:hAnsi="Times New Roman" w:eastAsia="宋体"/>
          <w:sz w:val="24"/>
        </w:rPr>
        <w:t xml:space="preserve">后的反事实状态。若区域</w:t>
      </w:r>
      <m:oMath>
        <m:r>
          <m:t>r</m:t>
        </m:r>
      </m:oMath>
      <w:r>
        <w:rPr>
          <w:rFonts w:hint="eastAsia" w:ascii="Times New Roman" w:hAnsi="Times New Roman" w:eastAsia="宋体"/>
          <w:sz w:val="24"/>
        </w:rPr>
        <w:t xml:space="preserve">在未来时刻</w:t>
      </w:r>
      <m:oMath>
        <m:r>
          <m:t>u</m:t>
        </m:r>
      </m:oMath>
      <w:r>
        <w:rPr>
          <w:rFonts w:hint="eastAsia" w:ascii="Times New Roman" w:hAnsi="Times New Roman" w:eastAsia="宋体"/>
          <w:sz w:val="24"/>
        </w:rPr>
        <w:t xml:space="preserve">出现一条假想呼叫，预计最短响应为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T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60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45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同时考虑车辆已有任务和日12次限制。派出</w:t>
      </w:r>
      <m:oMath>
        <m:r>
          <m:t>a</m:t>
        </m:r>
      </m:oMath>
      <w:r>
        <w:rPr>
          <w:rFonts w:hint="eastAsia" w:ascii="Times New Roman" w:hAnsi="Times New Roman" w:eastAsia="宋体"/>
          <w:sz w:val="24"/>
        </w:rPr>
        <w:t xml:space="preserve">造成的未来45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min期望累计响应损失为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0.75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再以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惩罚过早耗尽某辆车的日接单额度，最终评分为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e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三个分量均换算为min。策略B在合法候选中选择</w:t>
      </w:r>
      <m:oMath>
        <m:sSub>
          <m:e>
            <m:r>
              <m:t>J</m:t>
            </m:r>
          </m:e>
          <m:sub>
            <m:r>
              <m:t>e</m:t>
            </m:r>
            <m:r>
              <m:t>a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最小的车辆。粗网格搜索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和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，再在优胜区域细化，最终选取</w:t>
      </w:r>
      <m:oMath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。图6显示筛选过程。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717542" cy="3030425"/>
            <wp:effectExtent b="0" l="0" r="0" t="0"/>
            <wp:docPr descr="图6 策略B参数筛选结果" title="图6" id="60" name="Picture"/>
            <a:graphic>
              <a:graphicData uri="http://schemas.openxmlformats.org/drawingml/2006/picture">
                <pic:pic>
                  <pic:nvPicPr>
                    <pic:cNvPr descr="../../figures/process_q2_b_gri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03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图6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策略B参数筛选结果</w:t>
      </w:r>
    </w:p>
    <w:bookmarkEnd w:id="62"/>
    <w:bookmarkStart w:id="66" w:name="策略c固定备用车辆配置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6.5 </w:t>
      </w:r>
      <w:r>
        <w:rPr>
          <w:rFonts w:hint="eastAsia" w:ascii="Times New Roman" w:hAnsi="Times New Roman" w:eastAsia="宋体"/>
          <w:b/>
          <w:sz w:val="24"/>
        </w:rPr>
        <w:t xml:space="preserve">策略C：固定备用车辆配置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设站点</w:t>
      </w:r>
      <m:oMath>
        <m:r>
          <m:t>j</m:t>
        </m:r>
      </m:oMath>
      <w:r>
        <w:rPr>
          <w:rFonts w:hint="eastAsia" w:ascii="Times New Roman" w:hAnsi="Times New Roman" w:eastAsia="宋体"/>
          <w:sz w:val="24"/>
        </w:rPr>
        <w:t xml:space="preserve">固定备用车辆数为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。每站至少保留一辆常规车，故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除全零向量外有47种非零备用向量，释放阈值枚举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min，共筛选235个候选。对队首呼叫，先计算最快常规车从呼叫到达起的预计响应</w:t>
      </w:r>
      <m:oMath>
        <m:sSubSup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e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p>
        </m:sSubSup>
      </m:oMath>
      <w:r>
        <w:rPr>
          <w:rFonts w:hint="eastAsia" w:ascii="Times New Roman" w:hAnsi="Times New Roman" w:eastAsia="宋体"/>
          <w:sz w:val="24"/>
        </w:rPr>
        <w:t xml:space="preserve">。只有同时满足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T</m:t>
                  </m:r>
                </m:e>
              </m:acc>
            </m:e>
            <m:sub>
              <m:r>
                <m:t>e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p>
          </m:sSubSup>
          <m:r>
            <m:rPr>
              <m:sty m:val="p"/>
            </m:rPr>
            <m:t>&gt;</m:t>
          </m:r>
          <m:r>
            <m:t>τ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且当前合法空闲备用车的实际响应严格更短时，才解除备用保护；完成任务回站后自动恢复备用身份。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候选筛选结果见图7，其中每一点代表一个备用向量与阈值组合，横轴为相对A的平均响应差，纵轴为严格4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min率，零差虚线表示与A平均响应相同。绿色标记为最终进入样本外评价的候选。筛选得到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τ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即S3的两辆车中固定一辆承担备用角色。全部235个候选配置基于3个独立复制进行筛选，因此该结果的最优性限于所设筛选样本，后续再通过独立样本评价其运行表现。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832604" cy="2873440"/>
            <wp:effectExtent b="0" l="0" r="0" t="0"/>
            <wp:docPr descr="图7 策略C的235个备用配置候选筛选" title="图7" id="64" name="Picture"/>
            <a:graphic>
              <a:graphicData uri="http://schemas.openxmlformats.org/drawingml/2006/picture">
                <pic:pic>
                  <pic:nvPicPr>
                    <pic:cNvPr descr="../../figures/process_q2_c_scree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287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图7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策略C的235个备用配置候选筛选</w:t>
      </w:r>
    </w:p>
    <w:bookmarkEnd w:id="66"/>
    <w:bookmarkStart w:id="67" w:name="评价指标与统计方法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6.6 </w:t>
      </w:r>
      <w:r>
        <w:rPr>
          <w:rFonts w:hint="eastAsia" w:ascii="Times New Roman" w:hAnsi="Times New Roman" w:eastAsia="宋体"/>
          <w:b/>
          <w:sz w:val="24"/>
        </w:rPr>
        <w:t xml:space="preserve">评价指标与统计方法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主指标为平均响应时间。以4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min为起罚点，延迟惩罚成本定义为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元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辅助指标包括严格4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min率、P90/P95、平均等待、等待概率、最大队列、日末积压和区域平均响应极差。每个指标先在独立复制内计算，再对30个复制求均值及95%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t置信区间。策略比较使用共同随机数成对差，例如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Δ</m:t>
              </m:r>
            </m:e>
            <m:sub>
              <m:r>
                <m:t>m</m:t>
              </m:r>
            </m:sub>
            <m:su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最近医院距离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不进入派车评分。若把它加入任务一目标，新增项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由需求守恒固定，不能改变最优分配。本文仅补充理想行驶链条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45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但不把它解释为包含现场处置、交接与院内救治的真实到院时间。</w:t>
      </w:r>
    </w:p>
    <w:bookmarkEnd w:id="67"/>
    <w:bookmarkStart w:id="68" w:name="算法设计-1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6.7 </w:t>
      </w:r>
      <w:r>
        <w:rPr>
          <w:rFonts w:hint="eastAsia" w:ascii="Times New Roman" w:hAnsi="Times New Roman" w:eastAsia="宋体"/>
          <w:b/>
          <w:sz w:val="24"/>
        </w:rPr>
        <w:t xml:space="preserve">算法设计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任务二采用连续多日离散事件仿真，在共同呼叫流下完成参数筛选和策略比较。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表5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任务二算法步骤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281"/>
        <w:gridCol w:w="6589"/>
      </w:tblGrid>
      <w:tr>
        <w:trPr>
          <w:tblHeader w:val="true"/>
        </w:trPr>
        <w:tc>
          <w:tcPr>
            <w:tcW w:type="dxa" w:w="2281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步骤</w:t>
            </w:r>
          </w:p>
        </w:tc>
        <w:tc>
          <w:tcPr>
            <w:tcW w:type="dxa" w:w="658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具体内容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1：生成条件NHPP呼叫流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每个仿真日固定生成140次呼叫，依据周期双高斯密度抽取到达时刻，并按</w:t>
            </w: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140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抽取区域标记。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2：初始化并预热系统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按任务一配车方案建立12辆车的所属站、可用时刻、日接单计数和备用身份，连续运行30天预热并保留跨午夜状态。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3：推进离散事件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按时间顺序处理日界切换、车辆任务完成、呼叫到达和FCFS派车；忙车、队列及未完成任务跨日继承。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4：执行候选派车规则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筛选满足空闲和日12次上限的车辆；A按距离选择，B最小化</w:t>
            </w:r>
            <m:oMath>
              <m:sSub>
                <m:e>
                  <m:r>
                    <m:t>J</m:t>
                  </m:r>
                </m:e>
                <m:sub>
                  <m:r>
                    <m:t>e</m:t>
                  </m:r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，C按阈值决定是否释放固定备用车。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5：筛选策略参数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使用独立种子搜索策略B的</w:t>
            </w:r>
            <m:oMath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和策略C的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，依据平均响应时间及严格4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min响应率确定候选方案。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6：开展样本外评价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在30个新复制中令A、B、C共享呼叫流，统计响应、等待、队列、公平性和延迟成本，并计算成对差的95%置信区间。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7：核验运行约束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检查呼叫量、唯一派车、单车日接单上限、任务不重叠、FCFS顺序和跨午夜状态连续性，输出最终调度方案。</w:t>
            </w:r>
          </w:p>
        </w:tc>
      </w:tr>
    </w:tbl>
    <w:bookmarkEnd w:id="68"/>
    <w:bookmarkStart w:id="75" w:name="最终结果与方案选择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6.8 </w:t>
      </w:r>
      <w:r>
        <w:rPr>
          <w:rFonts w:hint="eastAsia" w:ascii="Times New Roman" w:hAnsi="Times New Roman" w:eastAsia="宋体"/>
          <w:b/>
          <w:sz w:val="24"/>
        </w:rPr>
        <w:t xml:space="preserve">最终结果与方案选择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30个样本外复制的主要结果见表6；每个复制在30天预热后统计30天，共4200次呼叫。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表6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三种调度策略的样本外评价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3391"/>
        <w:gridCol w:w="1826"/>
        <w:gridCol w:w="1826"/>
        <w:gridCol w:w="1827"/>
      </w:tblGrid>
      <w:tr>
        <w:trPr>
          <w:tblHeader w:val="true"/>
        </w:trPr>
        <w:tc>
          <w:tcPr>
            <w:tcW w:type="dxa" w:w="3391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指标</w:t>
            </w:r>
          </w:p>
        </w:tc>
        <w:tc>
          <w:tcPr>
            <w:tcW w:type="dxa" w:w="1826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A：全局就近</w:t>
            </w:r>
          </w:p>
        </w:tc>
        <w:tc>
          <w:tcPr>
            <w:tcW w:type="dxa" w:w="1826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B：前瞻保护</w:t>
            </w:r>
          </w:p>
        </w:tc>
        <w:tc>
          <w:tcPr>
            <w:tcW w:type="dxa" w:w="1827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C：固定备用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平均响应/min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5.6142 [5.5577, 5.6708]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5.3432 [5.3111, 5.3753]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5.5872 [5.5400, 5.6343]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严格4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min率/%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43.13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44.92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42.94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P95响应/min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10.9949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9.9006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10.8021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平均等待/min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0.4053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0.2225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0.3657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等待概率/%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3.51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2.47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3.32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最大队列/次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5.4333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4.7333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5.4667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区域均值极差/min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4.1578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3.9994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4.0822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平均每次延迟成本/元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409.08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358.44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403.27</w:t>
            </w:r>
          </w:p>
        </w:tc>
      </w:tr>
      <w:tr>
        <w:trPr/>
        <w:tc>
          <w:tcPr>
            <w:tcW w:type="dxa" w:w="339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日均延迟成本/元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57271.05</w:t>
            </w:r>
          </w:p>
        </w:tc>
        <w:tc>
          <w:tcPr>
            <w:tcW w:type="dxa" w:w="1826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50181.83</w:t>
            </w:r>
          </w:p>
        </w:tc>
        <w:tc>
          <w:tcPr>
            <w:tcW w:type="dxa" w:w="182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56458.12</w:t>
            </w:r>
          </w:p>
        </w:tc>
      </w:tr>
    </w:tbl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B相对A平均响应减少0.2711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min，成对95%置信区间为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0.3116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0.2305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min；C相对A减少0.0271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min，区间为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0.0487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0.0055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min。图8显示B相对A在平均响应、P95、等待和延迟成本上的方向一致改善；图9给出B、C相对A的成对响应差与95%区间。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717542" cy="2437233"/>
            <wp:effectExtent b="0" l="0" r="0" t="0"/>
            <wp:docPr descr="图8 策略B相对A的多指标变化" title="图8" id="70" name="Picture"/>
            <a:graphic>
              <a:graphicData uri="http://schemas.openxmlformats.org/drawingml/2006/picture">
                <pic:pic>
                  <pic:nvPicPr>
                    <pic:cNvPr descr="../../figures/result_q2_multi_metri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243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图8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策略B相对A的多指标变化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487418" cy="1758582"/>
            <wp:effectExtent b="0" l="0" r="0" t="0"/>
            <wp:docPr descr="图9 共同随机数下B、C相对A的成对响应差" title="图9" id="73" name="Picture"/>
            <a:graphic>
              <a:graphicData uri="http://schemas.openxmlformats.org/drawingml/2006/picture">
                <pic:pic>
                  <pic:nvPicPr>
                    <pic:cNvPr descr="../../figures/result_q2_paired_differenc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418" cy="1758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图9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共同随机数下B、C相对A的成对响应差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策略B使平均响应时间降低4.83%，P95降低9.95%，平均等待时间降低45.11%，平均每次延迟成本降低50.64元，日均延迟总成本降低7089.22元，并减小区域平均响应时间极差，因而选作日常主方案。利用仿真比较时空随机需求下的车辆配置与调度规则，符合现有救护车仿真优化研究的建模范式</w:t>
      </w:r>
      <w:r>
        <w:rPr>
          <w:rFonts w:ascii="Times New Roman" w:hAnsi="Times New Roman" w:eastAsia="宋体"/>
          <w:sz w:val="24"/>
          <w:vertAlign w:val="superscript"/>
        </w:rPr>
        <w:t xml:space="preserve">[4]</w:t>
      </w:r>
      <w:r>
        <w:rPr>
          <w:rFonts w:hint="eastAsia" w:ascii="Times New Roman" w:hAnsi="Times New Roman" w:eastAsia="宋体"/>
          <w:sz w:val="24"/>
        </w:rPr>
        <w:t xml:space="preserve">；本文的输入、约束与数值均按本题条件设定。策略C在S3配置1辆固定备用车，其平均响应时间与策略A相近，但严格4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min响应率略低于A，综合性能弱于B，因此作为备用保障方案，不替代日常主方案。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最终可执行规则汇总于表7。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表7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任务二最终调度方案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365"/>
        <w:gridCol w:w="1933"/>
        <w:gridCol w:w="2047"/>
        <w:gridCol w:w="3525"/>
      </w:tblGrid>
      <w:tr>
        <w:trPr>
          <w:tblHeader w:val="true"/>
        </w:trPr>
        <w:tc>
          <w:tcPr>
            <w:tcW w:type="dxa" w:w="1365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运行场景</w:t>
            </w:r>
          </w:p>
        </w:tc>
        <w:tc>
          <w:tcPr>
            <w:tcW w:type="dxa" w:w="1933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采用规则</w:t>
            </w:r>
          </w:p>
        </w:tc>
        <w:tc>
          <w:tcPr>
            <w:tcW w:type="dxa" w:w="2047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关键参数</w:t>
            </w:r>
          </w:p>
        </w:tc>
        <w:tc>
          <w:tcPr>
            <w:tcW w:type="dxa" w:w="3525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执行说明</w:t>
            </w:r>
          </w:p>
        </w:tc>
      </w:tr>
      <w:tr>
        <w:trPr/>
        <w:tc>
          <w:tcPr>
            <w:tcW w:type="dxa" w:w="13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日常主运行</w:t>
            </w:r>
          </w:p>
        </w:tc>
        <w:tc>
          <w:tcPr>
            <w:tcW w:type="dxa" w:w="193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策略B</w:t>
            </w:r>
          </w:p>
        </w:tc>
        <w:tc>
          <w:tcPr>
            <w:tcW w:type="dxa" w:w="204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min，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ascii="Times New Roman" w:hAnsi="Times New Roman" w:eastAsia="宋体"/>
                <w:sz w:val="21"/>
              </w:rPr>
              <w:t xml:space="preserve">min</w:t>
            </w:r>
          </w:p>
        </w:tc>
        <w:tc>
          <w:tcPr>
            <w:tcW w:type="dxa" w:w="352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在当前额外响应不超过2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min的候选中最小化45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min前瞻评分</w:t>
            </w:r>
          </w:p>
        </w:tc>
      </w:tr>
      <w:tr>
        <w:trPr/>
        <w:tc>
          <w:tcPr>
            <w:tcW w:type="dxa" w:w="13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显式备用保障</w:t>
            </w:r>
          </w:p>
        </w:tc>
        <w:tc>
          <w:tcPr>
            <w:tcW w:type="dxa" w:w="193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策略C</w:t>
            </w:r>
          </w:p>
        </w:tc>
        <w:tc>
          <w:tcPr>
            <w:tcW w:type="dxa" w:w="204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S3固定1辆备用，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ascii="Times New Roman" w:hAnsi="Times New Roman" w:eastAsia="宋体"/>
                <w:sz w:val="21"/>
              </w:rPr>
              <w:t xml:space="preserve">min</w:t>
            </w:r>
          </w:p>
        </w:tc>
        <w:tc>
          <w:tcPr>
            <w:tcW w:type="dxa" w:w="352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常规车预计响应超过7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min且备用车更快时解除保护</w:t>
            </w:r>
          </w:p>
        </w:tc>
      </w:tr>
      <w:tr>
        <w:trPr/>
        <w:tc>
          <w:tcPr>
            <w:tcW w:type="dxa" w:w="136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无优化基准</w:t>
            </w:r>
          </w:p>
        </w:tc>
        <w:tc>
          <w:tcPr>
            <w:tcW w:type="dxa" w:w="193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策略A</w:t>
            </w:r>
          </w:p>
        </w:tc>
        <w:tc>
          <w:tcPr>
            <w:tcW w:type="dxa" w:w="204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无</w:t>
            </w:r>
          </w:p>
        </w:tc>
        <w:tc>
          <w:tcPr>
            <w:tcW w:type="dxa" w:w="352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全市合法车辆中选择最近者，用于效果比较</w:t>
            </w:r>
          </w:p>
        </w:tc>
      </w:tr>
    </w:tbl>
    <w:bookmarkEnd w:id="75"/>
    <w:bookmarkStart w:id="76" w:name="约束与复现核验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6.9 </w:t>
      </w:r>
      <w:r>
        <w:rPr>
          <w:rFonts w:hint="eastAsia" w:ascii="Times New Roman" w:hAnsi="Times New Roman" w:eastAsia="宋体"/>
          <w:b/>
          <w:sz w:val="24"/>
        </w:rPr>
        <w:t xml:space="preserve">约束与复现核验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程序逐复制检查：每日恰生成140次呼叫；每个呼叫最终且仅派车一次；每车每日接受任务不超过12次；同一车辆任务区间不重叠；后到呼叫不越过队首；车辆恰在接受任务45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min后恢复；跨午夜忙车与队列连续继承。任务一求解状态正常，需求残差和容量超限为0。任务二的30个最终复制中，每个策略均有30行复制结果，种子为400000至400029，每行包含4200次测量呼叫。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三项任务的结果与约束可使用以下命令复核：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Style w:val="VerbatimChar"/>
          <w:rFonts w:ascii="Times New Roman" w:hAnsi="Times New Roman" w:eastAsia="宋体"/>
          <w:sz w:val="24"/>
        </w:rPr>
        <w:t xml:space="preserve">python src/reproduce_all.py --project-root . --mode verify --scope all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该入口重新计算任务一可行性与运输分配校验，复核任务二汇总，并从任务三复制级结果重建逐时长表与连续响应面。当前全套回归测试与3项子测试均已通过；复现清单绑定18项输入和结果文件。</w:t>
      </w:r>
    </w:p>
    <w:bookmarkEnd w:id="76"/>
    <w:bookmarkEnd w:id="77"/>
    <w:bookmarkStart w:id="96" w:name="七任务三连续事故时长下的动态应急响应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七、任务三：连续事故时长下的动态应急响应</w:t>
      </w:r>
    </w:p>
    <w:bookmarkStart w:id="81" w:name="事故需求与最不利窗口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7.1 </w:t>
      </w:r>
      <w:r>
        <w:rPr>
          <w:rFonts w:hint="eastAsia" w:ascii="Times New Roman" w:hAnsi="Times New Roman" w:eastAsia="宋体"/>
          <w:b/>
          <w:sz w:val="24"/>
        </w:rPr>
        <w:t xml:space="preserve">事故需求与最不利窗口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事故区域</w:t>
      </w:r>
      <m:oMath>
        <m:r>
          <m:t>k</m:t>
        </m:r>
      </m:oMath>
      <w:r>
        <w:rPr>
          <w:rFonts w:hint="eastAsia" w:ascii="Times New Roman" w:hAnsi="Times New Roman" w:eastAsia="宋体"/>
          <w:sz w:val="24"/>
        </w:rPr>
        <w:t xml:space="preserve">遍历全部10个需求区，持续时间为连续变量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0.5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]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事故期间区域</w:t>
      </w:r>
      <m:oMath>
        <m:r>
          <m:t>k</m:t>
        </m:r>
      </m:oMath>
      <w:r>
        <w:rPr>
          <w:rFonts w:hint="eastAsia" w:ascii="Times New Roman" w:hAnsi="Times New Roman" w:eastAsia="宋体"/>
          <w:sz w:val="24"/>
        </w:rPr>
        <w:t xml:space="preserve">的总强度升至正常值5倍。为保持任务二日常背景呼叫不变，在其上叠加独立NHPP增量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λ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其他区域不增加强度。对每个合法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，事故起点定义为周期日内强度在长度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窗口中的积分最大点：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max</m:t>
              </m:r>
            </m:e>
            <m:lim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)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24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程序以1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min网格搜索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，该网格只是数值求积与寻优工具。事故期预期新增呼叫量为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bSup>
            <m:e>
              <m:r>
                <m:t>N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24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如图10所示，连续函数与实际仿真节点被同时展示。R1因日均需求最大，在相同持续时间下产生最高新增呼叫压力；采样点只表示随机仿真设计，不把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离散化。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832604" cy="3174850"/>
            <wp:effectExtent b="0" l="0" r="0" t="0"/>
            <wp:docPr descr="图10 连续事故持续时间下的预期新增呼叫与自适应节点" title="图10" id="79" name="Picture"/>
            <a:graphic>
              <a:graphicData uri="http://schemas.openxmlformats.org/drawingml/2006/picture">
                <pic:pic>
                  <pic:nvPicPr>
                    <pic:cNvPr descr="../../figures/raw_q3_incident_loa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174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图10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连续事故持续时间下的预期新增呼叫与自适应节点</w:t>
      </w:r>
    </w:p>
    <w:bookmarkEnd w:id="81"/>
    <w:bookmarkStart w:id="82" w:name="常态预测与事故感知预测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7.2 </w:t>
      </w:r>
      <w:r>
        <w:rPr>
          <w:rFonts w:hint="eastAsia" w:ascii="Times New Roman" w:hAnsi="Times New Roman" w:eastAsia="宋体"/>
          <w:b/>
          <w:sz w:val="24"/>
        </w:rPr>
        <w:t xml:space="preserve">常态预测与事故感知预测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以任务二日常主策略B为基线，并使用共同随机数比较两个模式：</w:t>
      </w:r>
    </w:p>
    <w:p>
      <w:pPr>
        <w:pStyle w:val="BodyText"/>
        <w:numPr>
          <w:ilvl w:val="0"/>
          <w:numId w:val="1002"/>
        </w:numPr>
        <w:snapToGrid w:val="0"/>
        <w:spacing w:line="360" w:lineRule="auto" w:before="0" w:after="0"/>
        <w:jc w:val="both"/>
      </w:pP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：实际呼叫流包含事故增量，但45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min前瞻损失仍按日常强度计算；</w:t>
      </w:r>
    </w:p>
    <w:p>
      <w:pPr>
        <w:pStyle w:val="BodyText"/>
        <w:numPr>
          <w:ilvl w:val="0"/>
          <w:numId w:val="1002"/>
        </w:numPr>
        <w:snapToGrid w:val="0"/>
        <w:spacing w:line="360" w:lineRule="auto" w:before="0" w:after="0"/>
        <w:jc w:val="both"/>
      </w:pP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：只在事故已经发生的时段内，把已识别事故区的前瞻强度乘子改为5，其余评分、约束和参数保持不变。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因此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在时刻</w:t>
      </w:r>
      <m:oMath>
        <m:r>
          <m:t>t</m:t>
        </m:r>
      </m:oMath>
      <w:r>
        <w:rPr>
          <w:rFonts w:hint="eastAsia" w:ascii="Times New Roman" w:hAnsi="Times New Roman" w:eastAsia="宋体"/>
          <w:sz w:val="24"/>
        </w:rPr>
        <w:t xml:space="preserve">对候选车辆</w:t>
      </w:r>
      <m:oMath>
        <m:r>
          <m:t>a</m:t>
        </m:r>
      </m:oMath>
      <w:r>
        <w:rPr>
          <w:rFonts w:hint="eastAsia" w:ascii="Times New Roman" w:hAnsi="Times New Roman" w:eastAsia="宋体"/>
          <w:sz w:val="24"/>
        </w:rPr>
        <w:t xml:space="preserve">仍计算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Sup>
            <m:e>
              <m:r>
                <m:t>J</m:t>
              </m:r>
            </m:e>
            <m:sub>
              <m:r>
                <m:t>e</m:t>
              </m:r>
              <m:r>
                <m:t>a</m:t>
              </m:r>
            </m:sub>
            <m:sup>
              <m: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a</m:t>
              </m:r>
            </m:sub>
            <m:sup>
              <m:r>
                <m:t>E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e</m:t>
              </m:r>
              <m:r>
                <m:t>a</m:t>
              </m:r>
            </m:sub>
          </m:sSub>
          <m:r>
            <m:rPr>
              <m:sty m:val="p"/>
            </m:rPr>
            <m:t>≤</m:t>
          </m:r>
          <m:r>
            <m:t>δ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</w:t>
      </w:r>
      <m:oMath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E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只在未来窗口与事故区间重叠时使用5倍强度。两个模式均执行FCFS、45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min占用、日12次上限、任务后回所属站，不增加车辆或外援；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也不叠加策略C的固定备用身份。这样比较的正是“已知事故后修改需求预测”本身的边际作用。</w:t>
      </w:r>
    </w:p>
    <w:bookmarkEnd w:id="82"/>
    <w:bookmarkStart w:id="86" w:name="事故期评价边界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7.3 </w:t>
      </w:r>
      <w:r>
        <w:rPr>
          <w:rFonts w:hint="eastAsia" w:ascii="Times New Roman" w:hAnsi="Times New Roman" w:eastAsia="宋体"/>
          <w:b/>
          <w:sz w:val="24"/>
        </w:rPr>
        <w:t xml:space="preserve">事故期评价边界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每个复制先执行固定30天预热。只统计到达时刻位于</w:t>
      </w:r>
      <m:oMath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的呼叫；事故结束时仍在等待的呼叫继续仿真到获得派车，其完整响应仍计入。事故后的新呼叫不进入任务三指标，也不把事故结束积压扩展成恢复阶段评价。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对每个区域和模式报告平均响应、P95、严格4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min率及最大事故队列，记为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sSub>
            <m:e>
              <m:r>
                <m:t>95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4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对同一呼叫流的成对差使用</w:t>
      </w:r>
      <m:oMath>
        <m:sSub>
          <m:e>
            <m:r>
              <m:t>B</m:t>
            </m:r>
          </m:e>
          <m:sub>
            <m:r>
              <m:t>E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；响应时间差为负表示事故感知模式改善。图11展示全部10个事故区域的平均响应曲面及置信带宽诊断，表明区域与持续时间共同决定压力，且长时事故处的不确定性明显增大。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5062728" cy="4121867"/>
            <wp:effectExtent b="0" l="0" r="0" t="0"/>
            <wp:docPr descr="图11 各事故区域的连续响应面与不确定性" title="图11" id="84" name="Picture"/>
            <a:graphic>
              <a:graphicData uri="http://schemas.openxmlformats.org/drawingml/2006/picture">
                <pic:pic>
                  <pic:nvPicPr>
                    <pic:cNvPr descr="../../figures/process_q3_duration_zon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28" cy="4121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图11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各事故区域的连续响应面与不确定性</w:t>
      </w:r>
    </w:p>
    <w:bookmarkEnd w:id="86"/>
    <w:bookmarkStart w:id="90" w:name="自适应节点与pchip响应面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7.4 </w:t>
      </w:r>
      <w:r>
        <w:rPr>
          <w:rFonts w:hint="eastAsia" w:ascii="Times New Roman" w:hAnsi="Times New Roman" w:eastAsia="宋体"/>
          <w:b/>
          <w:sz w:val="24"/>
        </w:rPr>
        <w:t xml:space="preserve">自适应节点与PCHIP响应面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连续区间无法通过有限计算逐点仿真。本文从</w:t>
      </w:r>
      <m:oMath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h六个初始节点出发，对平均响应、P95、严格4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min率和最大事故队列的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及成对差曲线进行无量纲化，再依据区间端点的最大95%置信半宽和相邻斜率变化选择中点。两轮补点结果见表8。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表8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任务三自适应持续时间节点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183"/>
        <w:gridCol w:w="1478"/>
        <w:gridCol w:w="2070"/>
        <w:gridCol w:w="2661"/>
        <w:gridCol w:w="1478"/>
      </w:tblGrid>
      <w:tr>
        <w:trPr>
          <w:tblHeader w:val="true"/>
        </w:trPr>
        <w:tc>
          <w:tcPr>
            <w:tcW w:type="dxa" w:w="1183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轮次</w:t>
            </w:r>
          </w:p>
        </w:tc>
        <w:tc>
          <w:tcPr>
            <w:tcW w:type="dxa" w:w="1478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新增时长/h</w:t>
            </w:r>
          </w:p>
        </w:tc>
        <w:tc>
          <w:tcPr>
            <w:tcW w:type="dxa" w:w="2070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搜索区间/h</w:t>
            </w:r>
          </w:p>
        </w:tc>
        <w:tc>
          <w:tcPr>
            <w:tcW w:type="dxa" w:w="2661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选择依据</w:t>
            </w:r>
          </w:p>
        </w:tc>
        <w:tc>
          <w:tcPr>
            <w:tcW w:type="dxa" w:w="1478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获取得分</w:t>
            </w:r>
          </w:p>
        </w:tc>
      </w:tr>
      <w:tr>
        <w:trPr/>
        <w:tc>
          <w:tcPr>
            <w:tcW w:type="dxa" w:w="118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type="dxa" w:w="207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[4, 8]</w:t>
            </w:r>
          </w:p>
        </w:tc>
        <w:tc>
          <w:tcPr>
            <w:tcW w:type="dxa" w:w="266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高不确定性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1.3987</w:t>
            </w:r>
          </w:p>
        </w:tc>
      </w:tr>
      <w:tr>
        <w:trPr/>
        <w:tc>
          <w:tcPr>
            <w:tcW w:type="dxa" w:w="118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tcPr>
            <w:tcW w:type="dxa" w:w="207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[8, 12]</w:t>
            </w:r>
          </w:p>
        </w:tc>
        <w:tc>
          <w:tcPr>
            <w:tcW w:type="dxa" w:w="266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高不确定性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1.7621</w:t>
            </w:r>
          </w:p>
        </w:tc>
      </w:tr>
      <w:tr>
        <w:trPr/>
        <w:tc>
          <w:tcPr>
            <w:tcW w:type="dxa" w:w="118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type="dxa" w:w="207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[4, 6]</w:t>
            </w:r>
          </w:p>
        </w:tc>
        <w:tc>
          <w:tcPr>
            <w:tcW w:type="dxa" w:w="266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高不确定性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0.3649</w:t>
            </w:r>
          </w:p>
        </w:tc>
      </w:tr>
      <w:tr>
        <w:trPr/>
        <w:tc>
          <w:tcPr>
            <w:tcW w:type="dxa" w:w="118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tcPr>
            <w:tcW w:type="dxa" w:w="207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[10, 12]</w:t>
            </w:r>
          </w:p>
        </w:tc>
        <w:tc>
          <w:tcPr>
            <w:tcW w:type="dxa" w:w="266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高不确定性</w:t>
            </w:r>
          </w:p>
        </w:tc>
        <w:tc>
          <w:tcPr>
            <w:tcW w:type="dxa" w:w="1478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1.7621</w:t>
            </w:r>
          </w:p>
        </w:tc>
      </w:tr>
    </w:tbl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最终节点集合为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0.5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,</m:t>
          </m:r>
          <m:r>
            <m:t>12</m:t>
          </m:r>
          <m:r>
            <m:rPr>
              <m:sty m:val="p"/>
            </m:rPr>
            <m:t>}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每个节点遍历10个事故区、10个随机种子和两种成对模式，共得到2000行复制结果。对每个事故区、模式、指标和种子分别在</w:t>
      </w:r>
      <m:oMath>
        <m:r>
          <m:rPr>
            <m:scr m:val="script"/>
            <m:sty m:val="p"/>
          </m:rPr>
          <m:t>H</m:t>
        </m:r>
      </m:oMath>
      <w:r>
        <w:rPr>
          <w:rFonts w:hint="eastAsia" w:ascii="Times New Roman" w:hAnsi="Times New Roman" w:eastAsia="宋体"/>
          <w:sz w:val="24"/>
        </w:rPr>
        <w:t xml:space="preserve">上构造保形分段三次Hermite插值</w:t>
      </w:r>
      <m:oMath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s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，再在任意评价位置跨复制计算均值和t型95%置信带：</w:t>
      </w:r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  <w:snapToGrid w:val="0"/>
        <w:spacing w:line="360" w:lineRule="auto" w:before="0" w:after="0"/>
      </w:pPr>
      <m:oMathPara>
        <m:oMathParaPr>
          <m:jc m:val="center"/>
        </m:oMathParaPr>
        <m:oMath>
          <m:r>
            <m:t>C</m:t>
          </m:r>
          <m:sSub>
            <m:e>
              <m:r>
                <m:t>I</m:t>
              </m:r>
            </m:e>
            <m:sub>
              <m:r>
                <m:t>95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M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对各复制分别插值后再作跨复制汇总，以保留随机重复结构。PCHIP用于构造有限节点间的保形数值近似，不代表精确连续解。图12给出R6、R2、R1三个低、中、高压力代表区域的曲线。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832604" cy="2270620"/>
            <wp:effectExtent b="0" l="0" r="0" t="0"/>
            <wp:docPr descr="图12 低、中、高压力事故区域的平均响应曲线" title="图12" id="88" name="Picture"/>
            <a:graphic>
              <a:graphicData uri="http://schemas.openxmlformats.org/drawingml/2006/picture">
                <pic:pic>
                  <pic:nvPicPr>
                    <pic:cNvPr descr="../../figures/result_q3_response_curv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2270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图12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低、中、高压力事故区域的平均响应曲线</w:t>
      </w:r>
    </w:p>
    <w:bookmarkEnd w:id="90"/>
    <w:bookmarkStart w:id="91" w:name="算法设计-2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7.5 </w:t>
      </w:r>
      <w:r>
        <w:rPr>
          <w:rFonts w:hint="eastAsia" w:ascii="Times New Roman" w:hAnsi="Times New Roman" w:eastAsia="宋体"/>
          <w:b/>
          <w:sz w:val="24"/>
        </w:rPr>
        <w:t xml:space="preserve">算法设计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任务三采用“最不利窗口搜索—自适应仿真—复制级响应面”的连续事故时长分析流程。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表9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任务三算法步骤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281"/>
        <w:gridCol w:w="6589"/>
      </w:tblGrid>
      <w:tr>
        <w:trPr>
          <w:tblHeader w:val="true"/>
        </w:trPr>
        <w:tc>
          <w:tcPr>
            <w:tcW w:type="dxa" w:w="2281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步骤</w:t>
            </w:r>
          </w:p>
        </w:tc>
        <w:tc>
          <w:tcPr>
            <w:tcW w:type="dxa" w:w="658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具体内容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1：确定事故情景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遍历10个事故区域，令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h；事故期叠加4倍日常强度，使事故区总强度达到正常值的5倍。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2：搜索最不利起点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对给定</w:t>
            </w:r>
            <m:oMath>
              <m:r>
                <m:t>H</m:t>
              </m:r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在24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h周期上按1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min网格计算强度积分，取积分最大的窗口起点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宋体"/>
                <w:sz w:val="21"/>
              </w:rPr>
              <w:t xml:space="preserve">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3：构造共同随机呼叫流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完成30天预热后生成日常与事故增量呼叫，使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和</w:t>
            </w:r>
            <m:oMath>
              <m:sSub>
                <m:e>
                  <m:r>
                    <m:t>B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在同一区域、时长和种子下共享事件流。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4：执行两种预测模式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沿用日常强度计算45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min前瞻损失；</w:t>
            </w:r>
            <m:oMath>
              <m:sSub>
                <m:e>
                  <m:r>
                    <m:t>B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hint="eastAsia" w:ascii="Times New Roman" w:hAnsi="Times New Roman" w:eastAsia="宋体"/>
                <w:sz w:val="21"/>
              </w:rPr>
              <w:t xml:space="preserve">在已识别事故区和事故时段内将预测强度乘子调整为5。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5：自适应补充时长节点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从6个初始节点出发，依据95%置信半宽和相邻斜率变化选择区间中点，经两轮补点得到10个仿真节点。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6：构造连续响应面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对每个区域、策略、指标和随机种子在节点集上建立PCHIP插值，再跨复制计算均值与95%置信带。</w:t>
            </w:r>
          </w:p>
        </w:tc>
      </w:tr>
      <w:tr>
        <w:trPr/>
        <w:tc>
          <w:tcPr>
            <w:tcW w:type="dxa" w:w="2281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7：评价应急效果</w:t>
            </w:r>
          </w:p>
        </w:tc>
        <w:tc>
          <w:tcPr>
            <w:tcW w:type="dxa" w:w="658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hint="eastAsia" w:ascii="Times New Roman" w:hAnsi="Times New Roman" w:eastAsia="宋体"/>
                <w:sz w:val="21"/>
              </w:rPr>
              <w:t xml:space="preserve">汇总全市、事故区和非事故区的平均响应、P95、严格4</w:t>
            </w:r>
            <w:r>
              <w:rPr>
                <w:rFonts w:ascii="Times New Roman" w:hAnsi="Times New Roman" w:eastAsia="宋体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sz w:val="21"/>
              </w:rPr>
              <w:t xml:space="preserve">min响应率与最大队列，计算成对差并识别失效边界。</w:t>
            </w:r>
          </w:p>
        </w:tc>
      </w:tr>
    </w:tbl>
    <w:bookmarkEnd w:id="91"/>
    <w:bookmarkStart w:id="95" w:name="全市响应与事故感知效应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7.6 </w:t>
      </w:r>
      <w:r>
        <w:rPr>
          <w:rFonts w:hint="eastAsia" w:ascii="Times New Roman" w:hAnsi="Times New Roman" w:eastAsia="宋体"/>
          <w:b/>
          <w:sz w:val="24"/>
        </w:rPr>
        <w:t xml:space="preserve">全市响应与事故感知效应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在每个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和种子内，先等权平均完整10个事故区域情景，再计算</w:t>
      </w:r>
      <m:oMath>
        <m:sSub>
          <m:e>
            <m:r>
              <m:t>B</m:t>
            </m:r>
          </m:e>
          <m:sub>
            <m:r>
              <m:t>E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成对差。表10给出节点结果。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表10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全市逐时长平均响应与成对效应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223"/>
        <w:gridCol w:w="1529"/>
        <w:gridCol w:w="1529"/>
        <w:gridCol w:w="1529"/>
        <w:gridCol w:w="3060"/>
      </w:tblGrid>
      <w:tr>
        <w:trPr>
          <w:tblHeader w:val="true"/>
        </w:trPr>
        <w:tc>
          <w:tcPr>
            <w:tcW w:type="dxa" w:w="1223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宋体"/>
                <w:b/>
                <w:sz w:val="21"/>
              </w:rPr>
              <w:t xml:space="preserve">/h</w:t>
            </w:r>
          </w:p>
        </w:tc>
        <w:tc>
          <w:tcPr>
            <w:tcW w:type="dxa" w:w="152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宋体"/>
                <w:b/>
                <w:sz w:val="21"/>
              </w:rPr>
              <w:t xml:space="preserve">/min</w:t>
            </w:r>
          </w:p>
        </w:tc>
        <w:tc>
          <w:tcPr>
            <w:tcW w:type="dxa" w:w="152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eastAsia="宋体"/>
                <w:b/>
                <w:sz w:val="21"/>
              </w:rPr>
              <w:t xml:space="preserve">/min</w:t>
            </w:r>
          </w:p>
        </w:tc>
        <w:tc>
          <w:tcPr>
            <w:tcW w:type="dxa" w:w="1529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宋体"/>
                <w:b/>
                <w:sz w:val="21"/>
              </w:rPr>
              <w:t xml:space="preserve">/min</w:t>
            </w:r>
          </w:p>
        </w:tc>
        <w:tc>
          <w:tcPr>
            <w:tcW w:type="dxa" w:w="3060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95%置信区间/min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0.5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6.1706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6.1600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-0.0107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[-0.0541, 0.0328]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6.7916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6.8050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0.0135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[-0.0185, 0.0454]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7.9594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7.9369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-0.0226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[-0.0535, 0.0084]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9.8666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9.8930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0.0264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[-0.0435, 0.0963]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12.3799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12.3419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-0.0380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[-0.0857, 0.0097]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16.9489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16.9687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0.0198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[-0.0260, 0.0656]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28.6680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28.6031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-0.0649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[-0.1318, 0.0020]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24.4728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24.4155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-0.0572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[-0.1221, 0.0077]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25.0225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24.9244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-0.0981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[-0.1969, 0.0007]</w:t>
            </w:r>
          </w:p>
        </w:tc>
      </w:tr>
      <w:tr>
        <w:trPr/>
        <w:tc>
          <w:tcPr>
            <w:tcW w:type="dxa" w:w="122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31.6386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31.5920</w:t>
            </w:r>
          </w:p>
        </w:tc>
        <w:tc>
          <w:tcPr>
            <w:tcW w:type="dxa" w:w="1529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-0.0466</w:t>
            </w:r>
          </w:p>
        </w:tc>
        <w:tc>
          <w:tcPr>
            <w:tcW w:type="dxa" w:w="3060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[-0.1142, 0.0210]</w:t>
            </w:r>
          </w:p>
        </w:tc>
      </w:tr>
    </w:tbl>
    <w:p>
      <w:pPr>
        <w:pStyle w:val="BodyText"/>
        <w:snapToGrid w:val="0"/>
        <w:spacing w:line="360" w:lineRule="auto" w:before="0" w:after="0"/>
        <w:ind w:firstLine="480"/>
        <w:jc w:val="both"/>
      </w:pP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全市平均响应由0.5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h时的6.1706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min总体升至12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h时的31.6386</w:t>
      </w:r>
      <w:r>
        <w:rPr>
          <w:rFonts w:ascii="Times New Roman" w:hAnsi="Times New Roman" w:eastAsia="宋体"/>
          <w:sz w:val="24"/>
        </w:rPr>
        <w:t xml:space="preserve"> min。8 </w:t>
      </w:r>
      <w:r>
        <w:rPr>
          <w:rFonts w:hint="eastAsia" w:ascii="Times New Roman" w:hAnsi="Times New Roman" w:eastAsia="宋体"/>
          <w:sz w:val="24"/>
        </w:rPr>
        <w:t xml:space="preserve">h节点高于10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h和11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h并不意味着延长事故能改善响应：不同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对应不同最不利起点，且随机拥堵与队列状态不同，不能把有限节点的局部波动解释为确定性单调规律。10个节点的全市平均差在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0.0981</m:t>
        </m:r>
        <m:r>
          <m:rPr>
            <m:sty m:val="p"/>
          </m:rPr>
          <m:t>,</m:t>
        </m:r>
        <m:r>
          <m:t>0.0264</m:t>
        </m:r>
        <m:r>
          <m:rPr>
            <m:sty m:val="p"/>
          </m:rPr>
          <m:t>]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min内，所有95%区间均跨0，因此证据不支持“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显著改善全市均值”。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为考察局部保护，在固定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、种子和模式内汇总10个事故情景中的全部事故区呼叫或非事故区呼叫，按呼叫数加权后再成对比较。零呼叫情景保留为零权重，同时强制检查10区齐全和两策略呼叫数一致。分域节点结果见表11，负值表示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改善。</w:t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表11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事故区与非事故区平均响应的成对效应</w:t>
      </w:r>
    </w:p>
    <w:tbl>
      <w:tblPr>
        <w:tblW w:type="dxa" w:w="8870"/>
        <w:jc w:val="center"/>
        <w:tblInd w:type="dxa" w:w="120"/>
        <w:tblBorders>
          <w:top w:val="single" w:sz="12" w:color="000000"/>
          <w:left w:val="nil"/>
          <w:bottom w:val="single" w:sz="12" w:color="000000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052"/>
        <w:gridCol w:w="1503"/>
        <w:gridCol w:w="2405"/>
        <w:gridCol w:w="1503"/>
        <w:gridCol w:w="2407"/>
      </w:tblGrid>
      <w:tr>
        <w:trPr>
          <w:tblHeader w:val="true"/>
        </w:trPr>
        <w:tc>
          <w:tcPr>
            <w:tcW w:type="dxa" w:w="1052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宋体"/>
                <w:b/>
                <w:sz w:val="21"/>
              </w:rPr>
              <w:t xml:space="preserve">/h</w:t>
            </w:r>
          </w:p>
        </w:tc>
        <w:tc>
          <w:tcPr>
            <w:tcW w:type="dxa" w:w="1503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事故区差/min</w:t>
            </w:r>
          </w:p>
        </w:tc>
        <w:tc>
          <w:tcPr>
            <w:tcW w:type="dxa" w:w="2405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事故区95%CI/min</w:t>
            </w:r>
          </w:p>
        </w:tc>
        <w:tc>
          <w:tcPr>
            <w:tcW w:type="dxa" w:w="1503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非事故区差/min</w:t>
            </w:r>
          </w:p>
        </w:tc>
        <w:tc>
          <w:tcPr>
            <w:tcW w:type="dxa" w:w="2407"/>
            <w:tcBorders>
              <w:bottom w:val="single" w:sz="8" w:color="000000"/>
            </w:tcBorders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hint="eastAsia" w:ascii="Times New Roman" w:hAnsi="Times New Roman" w:eastAsia="宋体"/>
                <w:b/>
                <w:sz w:val="21"/>
              </w:rPr>
              <w:t xml:space="preserve">非事故区95%CI/min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0.5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-0.0213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[-0.1654, 0.1229]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0.0181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[-0.0540, 0.0902]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-0.0175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[-0.1072, 0.0722]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0.0362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[0.0016, 0.0708]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-0.0520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[-0.1119, 0.0080]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-0.0088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[-0.0384, 0.0208]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-0.0219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[-0.0830, 0.0392]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0.0653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[-0.0198, 0.1503]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-0.0997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[-0.2376, 0.0381]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-0.0112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[-0.0308, 0.0085]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-0.0265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[-0.0906, 0.0377]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0.0334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[-0.0025, 0.0693]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-0.1519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[-0.2866, -0.0173]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-0.0094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[-0.0557, 0.0369]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-0.0941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[-0.1860, -0.0021]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-0.0309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[-0.0877, 0.0258]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-0.1965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[-0.3523, -0.0407]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-0.0380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[-0.1286, 0.0526]</w:t>
            </w:r>
          </w:p>
        </w:tc>
      </w:tr>
      <w:tr>
        <w:trPr/>
        <w:tc>
          <w:tcPr>
            <w:tcW w:type="dxa" w:w="1052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-0.0604</w:t>
            </w:r>
          </w:p>
        </w:tc>
        <w:tc>
          <w:tcPr>
            <w:tcW w:type="dxa" w:w="2405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[-0.1249, 0.0042]</w:t>
            </w:r>
          </w:p>
        </w:tc>
        <w:tc>
          <w:tcPr>
            <w:tcW w:type="dxa" w:w="1503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-0.0525</w:t>
            </w:r>
          </w:p>
        </w:tc>
        <w:tc>
          <w:tcPr>
            <w:tcW w:type="dxa" w:w="2407"/>
            <w:vAlign w:val="center"/>
          </w:tcPr>
          <w:p>
            <w:pPr>
              <w:snapToGrid w:val="0"/>
              <w:spacing w:line="276" w:lineRule="auto" w:before="0" w:after="0"/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[-0.1595, 0.0544]</w:t>
            </w:r>
          </w:p>
        </w:tc>
      </w:tr>
    </w:tbl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事故区在</w:t>
      </w:r>
      <m:oMath>
        <m:r>
          <m:t>H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h分别改善0.1519、0.0941、0.1965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min，对应区间均低于0；其余时长证据不足。非事故区仅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h出现0.0362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min的小幅恶化且区间高于0，其他节点区间均跨0。图13用成对差和置信区间集中展示这一结果。</w:t>
      </w:r>
    </w:p>
    <w:p>
      <w:pPr>
        <w:pStyle w:val="BodyText"/>
        <w:snapToGrid w:val="0"/>
        <w:spacing w:before="0" w:after="0"/>
        <w:ind w:firstLine="0"/>
        <w:jc w:val="center"/>
      </w:pPr>
      <w:r>
        <w:drawing>
          <wp:inline>
            <wp:extent cx="4832604" cy="2496677"/>
            <wp:effectExtent b="0" l="0" r="0" t="0"/>
            <wp:docPr descr="图13 事故感知模式对事故区与非事故区的成对效应" title="图13" id="93" name="Picture"/>
            <a:graphic>
              <a:graphicData uri="http://schemas.openxmlformats.org/drawingml/2006/picture">
                <pic:pic>
                  <pic:nvPicPr>
                    <pic:cNvPr descr="../../figures/result_q3_paired_effect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249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napToGrid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图13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事故感知模式对事故区与非事故区的成对效应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R1是最高压力区域，R6、R2、R1分别作为低、中、高压力代表。总体上，事故区域和持续时间引起的容量压力明显大于调整45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min需求预测带来的收益；</w:t>
      </w:r>
      <m:oMath>
        <m:sSub>
          <m:e>
            <m:r>
              <m:t>B</m:t>
            </m:r>
          </m:e>
          <m:sub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主要改善事故识别后的局部车辆保护，无法在固定车队条件下消除系统超载。若需显著降低长时事故的响应时间，应进一步引入增车、临时站或外援等扩容决策，这些资源不在本题约束范围内。题目未给出</w:t>
      </w:r>
      <m:oMath>
        <m:r>
          <m:t>H</m:t>
        </m:r>
      </m:oMath>
      <w:r>
        <w:rPr>
          <w:rFonts w:hint="eastAsia" w:ascii="Times New Roman" w:hAnsi="Times New Roman" w:eastAsia="宋体"/>
          <w:sz w:val="24"/>
        </w:rPr>
        <w:t xml:space="preserve">的概率分布，因此不将各节点等权合成为与持续时间无关的总体指标。</w:t>
      </w:r>
    </w:p>
    <w:bookmarkEnd w:id="95"/>
    <w:bookmarkEnd w:id="96"/>
    <w:bookmarkStart w:id="100" w:name="八模型评价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八、模型评价</w:t>
      </w:r>
    </w:p>
    <w:bookmarkStart w:id="97" w:name="模型优点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8.1 </w:t>
      </w:r>
      <w:r>
        <w:rPr>
          <w:rFonts w:hint="eastAsia" w:ascii="Times New Roman" w:hAnsi="Times New Roman" w:eastAsia="宋体"/>
          <w:b/>
          <w:sz w:val="24"/>
        </w:rPr>
        <w:t xml:space="preserve">模型优点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第一，容量分析确定唯一可行配车后，运输规划进一步优化服务分配，区分了可行性结论与优化结果。第二，词典序目标分别处理距离和覆盖，避免对不同量纲指标直接加权。第三，任务二纳入30天预热、跨午夜状态、日接单上限和共同随机数，平均响应时间由逐呼叫仿真计算。第四，策略B与固定备用策略C分别建模，兼顾日常派车优化与备用车辆配置要求。第五，任务三区分连续事故时长与有限仿真节点，并基于复制级PCHIP构造置信带，明确了响应面的数值近似性质。第六，分域效应按10个事故区域情景中的实际呼叫数加权，无呼叫情景以零权重保留，从而保持统计口径一致。</w:t>
      </w:r>
    </w:p>
    <w:bookmarkEnd w:id="97"/>
    <w:bookmarkStart w:id="98" w:name="模型局限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8.2 </w:t>
      </w:r>
      <w:r>
        <w:rPr>
          <w:rFonts w:hint="eastAsia" w:ascii="Times New Roman" w:hAnsi="Times New Roman" w:eastAsia="宋体"/>
          <w:b/>
          <w:sz w:val="24"/>
        </w:rPr>
        <w:t xml:space="preserve">模型局限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区域中心仅表示聚合需求，无法刻画区内真实呼叫位置；欧氏距离未包含道路拓扑、拥堵和信号灯影响。双高斯强度为日内变化的情景设定，结论的适用范围受其参数限制。单次任务按固定45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完整占用处理，未考虑任务时长差异。固定备用方案由有限复制筛选得到，其最优性限于所设样本。任务三假定事故开始时即可识别且强度升至日常值的5倍，未考虑识别滞后、伤情分级和持续时间分布；PCHIP响应面是10个节点间的数值近似。10个事故区域情景用于遍历空间差异，不表示各区域具有相同的事故发生概率。</w:t>
      </w:r>
    </w:p>
    <w:bookmarkEnd w:id="98"/>
    <w:bookmarkStart w:id="99" w:name="推广方向"/>
    <w:p>
      <w:pPr>
        <w:pStyle w:val="Heading3"/>
        <w:snapToGrid w:val="0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8.3 </w:t>
      </w:r>
      <w:r>
        <w:rPr>
          <w:rFonts w:hint="eastAsia" w:ascii="Times New Roman" w:hAnsi="Times New Roman" w:eastAsia="宋体"/>
          <w:b/>
          <w:sz w:val="24"/>
        </w:rPr>
        <w:t xml:space="preserve">推广方向</w:t>
      </w:r>
    </w:p>
    <w:p>
      <w:pPr>
        <w:pStyle w:val="BodyText"/>
        <w:snapToGrid w:val="0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获得逐条历史呼叫、路网行程时间和任务持续时间数据，可分别拟合分区时变强度、以路网行程距离替换欧氏距离，并建立随机占用时间分布。在保持模型结构不变的条件下，运输规划可接入路网距离，离散事件仿真可接入实测到达过程。进一步获得事故识别时间和持续时间分布后，可将条件响应面用于贝叶斯更新或滚动风险评价；若允许新增车辆、临时站点或外援，还可在任务三上层增加资源扩容决策。</w:t>
      </w:r>
    </w:p>
    <w:bookmarkEnd w:id="99"/>
    <w:bookmarkEnd w:id="100"/>
    <w:bookmarkStart w:id="101" w:name="参考文献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参考文献</w:t>
      </w:r>
    </w:p>
    <w:p>
      <w:pPr>
        <w:pStyle w:val="BodyText"/>
        <w:snapToGrid w:val="0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[1] Matteson D S, McLean M W, Woodard D B, Henderson S G. Forecasting emergency medical service call arrival rates[J]. The Annals of Applied Statistics, 2011, 5(2B). DOI: 10.1214/10-AOAS442.</w:t>
      </w:r>
    </w:p>
    <w:p>
      <w:pPr>
        <w:pStyle w:val="BodyText"/>
        <w:snapToGrid w:val="0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[2] Jánošíková Ľ, Jankovič P, Kvet M, Zajacová F. Coverage versus response time objectives in ambulance location[J]. International Journal of Health Geographics, 2021, 20: 32. DOI: 10.1186/s12942-021-00285-x.</w:t>
      </w:r>
    </w:p>
    <w:p>
      <w:pPr>
        <w:pStyle w:val="BodyText"/>
        <w:snapToGrid w:val="0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[3] Wu C H, Hwang K P. Using a discrete-event simulation to balance ambulance availability and demand in static deployment systems[J]. Academic Emergency Medicine, 2009, 16(12): 1359-1366. DOI: 10.1111/j.1553-2712.2009.00583.x.</w:t>
      </w:r>
    </w:p>
    <w:p>
      <w:pPr>
        <w:pStyle w:val="BodyText"/>
        <w:snapToGrid w:val="0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[4] Yang W, Su Q, Huang S H, Wang Q, Zhu Y, Zhou M. Simulation modeling and optimization for ambulance allocation considering spatiotemporal stochastic demand[J]. Journal of Management Science and Engineering, 2019, 4(4): 252-265. DOI: 10.1016/j.jmse.2020.01.004.</w:t>
      </w:r>
    </w:p>
    <w:bookmarkEnd w:id="101"/>
    <w:bookmarkStart w:id="102" w:name="附录a-复现与证据文件"/>
    <w:p>
      <w:pPr>
        <w:pStyle w:val="Heading2"/>
        <w:snapToGrid w:val="0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附录A</w:t>
      </w:r>
      <w:r>
        <w:rPr>
          <w:rFonts w:ascii="Times New Roman" w:hAnsi="Times New Roman" w:eastAsia="黑体"/>
          <w:b/>
          <w:sz w:val="28"/>
        </w:rPr>
        <w:t xml:space="preserve"> </w:t>
      </w:r>
      <w:r>
        <w:rPr>
          <w:rFonts w:hint="eastAsia" w:ascii="Times New Roman" w:hAnsi="Times New Roman" w:eastAsia="黑体"/>
          <w:b/>
          <w:sz w:val="28"/>
        </w:rPr>
        <w:t xml:space="preserve">复现与证据文件</w:t>
      </w:r>
    </w:p>
    <w:p>
      <w:pPr>
        <w:pStyle w:val="BodyText"/>
        <w:snapToGrid w:val="0"/>
        <w:spacing w:line="300" w:lineRule="auto" w:before="0" w:after="0"/>
        <w:ind w:firstLine="420"/>
        <w:jc w:val="both"/>
      </w:pPr>
      <w:r>
        <w:rPr>
          <w:rFonts w:hint="eastAsia" w:ascii="Times New Roman" w:hAnsi="Times New Roman" w:eastAsia="宋体"/>
          <w:sz w:val="21"/>
        </w:rPr>
        <w:t xml:space="preserve">三问权威结果分别位于</w:t>
      </w:r>
      <w:r>
        <w:rPr>
          <w:rStyle w:val="VerbatimChar"/>
          <w:rFonts w:ascii="Times New Roman" w:hAnsi="Times New Roman" w:eastAsia="宋体"/>
          <w:sz w:val="21"/>
        </w:rPr>
        <w:t xml:space="preserve">results/task-1/</w:t>
      </w:r>
      <w:r>
        <w:rPr>
          <w:rFonts w:ascii="Times New Roman" w:hAnsi="Times New Roman" w:eastAsia="宋体"/>
          <w:sz w:val="21"/>
        </w:rPr>
        <w:t xml:space="preserve">、</w:t>
      </w:r>
      <w:r>
        <w:rPr>
          <w:rStyle w:val="VerbatimChar"/>
          <w:rFonts w:ascii="Times New Roman" w:hAnsi="Times New Roman" w:eastAsia="宋体"/>
          <w:sz w:val="21"/>
        </w:rPr>
        <w:t xml:space="preserve">results/task-2/</w:t>
      </w:r>
      <w:r>
        <w:rPr>
          <w:rFonts w:hint="eastAsia" w:ascii="Times New Roman" w:hAnsi="Times New Roman" w:eastAsia="宋体"/>
          <w:sz w:val="21"/>
        </w:rPr>
        <w:t xml:space="preserve">和</w:t>
      </w:r>
      <w:r>
        <w:rPr>
          <w:rStyle w:val="VerbatimChar"/>
          <w:rFonts w:ascii="Times New Roman" w:hAnsi="Times New Roman" w:eastAsia="宋体"/>
          <w:sz w:val="21"/>
        </w:rPr>
        <w:t xml:space="preserve">results/task-3/</w:t>
      </w:r>
      <w:r>
        <w:rPr>
          <w:rFonts w:ascii="Times New Roman" w:hAnsi="Times New Roman" w:eastAsia="宋体"/>
          <w:sz w:val="21"/>
        </w:rPr>
        <w:t xml:space="preserve">。</w:t>
      </w:r>
      <w:r>
        <w:rPr>
          <w:rStyle w:val="VerbatimChar"/>
          <w:rFonts w:hint="eastAsia" w:ascii="Times New Roman" w:hAnsi="Times New Roman" w:eastAsia="宋体"/>
          <w:sz w:val="21"/>
        </w:rPr>
        <w:t xml:space="preserve">results/复现清单.json</w:t>
      </w:r>
      <w:r>
        <w:rPr>
          <w:rFonts w:hint="eastAsia" w:ascii="Times New Roman" w:hAnsi="Times New Roman" w:eastAsia="宋体"/>
          <w:sz w:val="21"/>
        </w:rPr>
        <w:t xml:space="preserve">以SHA-256绑定原题及18项关键证据；只读核验命令为</w:t>
      </w:r>
      <w:r>
        <w:rPr>
          <w:rStyle w:val="VerbatimChar"/>
          <w:rFonts w:ascii="Times New Roman" w:hAnsi="Times New Roman" w:eastAsia="宋体"/>
          <w:sz w:val="21"/>
        </w:rPr>
        <w:t xml:space="preserve">python src/reproduce_all.py --project-root . --mode verify --scope all</w:t>
      </w:r>
      <w:r>
        <w:rPr>
          <w:rFonts w:hint="eastAsia" w:ascii="Times New Roman" w:hAnsi="Times New Roman" w:eastAsia="宋体"/>
          <w:sz w:val="21"/>
        </w:rPr>
        <w:t xml:space="preserve">。图1至图13均由</w:t>
      </w:r>
      <w:r>
        <w:rPr>
          <w:rStyle w:val="VerbatimChar"/>
          <w:rFonts w:ascii="Times New Roman" w:hAnsi="Times New Roman" w:eastAsia="宋体"/>
          <w:sz w:val="21"/>
        </w:rPr>
        <w:t xml:space="preserve">src/generate_figures.py</w:t>
      </w:r>
      <w:r>
        <w:rPr>
          <w:rFonts w:hint="eastAsia" w:ascii="Times New Roman" w:hAnsi="Times New Roman" w:eastAsia="宋体"/>
          <w:sz w:val="21"/>
        </w:rPr>
        <w:t xml:space="preserve">基于上述结果生成。</w:t>
      </w:r>
    </w:p>
    <w:bookmarkEnd w:id="102"/>
    <w:bookmarkEnd w:id="103"/>
    <w:sectPr>
      <w:headerReference r:id="rId3" w:type="default"/>
      <w:headerReference r:id="rId4" w:type="first"/>
      <w:footerReference r:id="rId5" w:type="default"/>
      <w:footerReference r:id="rId6" w:type="first"/>
      <w:type w:val="nextPage"/>
      <w:pgSz w:h="16838" w:w="11906"/>
      <w:pgMar w:bottom="1418" w:footer="1020" w:gutter="0" w:header="851" w:left="1418" w:right="1418" w:top="1418"/>
      <w:pgNumType w:fmt="decimal" w:start="1"/>
      <w:formProt w:val="false"/>
      <w:titlePg/>
      <w:textDirection w:val="lrTb"/>
      <w:docGrid w:charSpace="0" w:linePitch="360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00" w:characterSet="windows-1252"/>
    <w:family w:val="roman"/>
    <w:pitch w:val="default"/>
  </w:font>
  <w:font w:name="黑体">
    <w:charset w:val="86"/>
    <w:family w:val="auto"/>
    <w:pitch w:val="default"/>
  </w:font>
  <w:font w:name="Wingdings">
    <w:charset w:val="00" w:characterSet="windows-1252"/>
    <w:family w:val="auto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Liberation Sans">
    <w:altName w:val="Arial"/>
    <w:charset w:val="86"/>
    <w:family w:val="swiss"/>
    <w:pitch w:val="variable"/>
  </w:font>
  <w:font w:name="楷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963" w:leader="none"/>
        <w:tab w:val="center" w:pos="4595" w:leader="none"/>
      </w:tabs>
      <w:jc w:val="start"/>
      <w:rPr/>
    </w:pPr>
    <w:r>
      <w:rPr>
        <w:rFonts w:hint="eastAsia"/>
      </w:rPr>
      <w:tab/>
      <w:tab/>
      <w:tab/>
    </w:r>
    <w:r>
      <mc:AlternateContent>
        <mc:Choice Requires="wps">
          <w:drawing>
            <wp:anchor distT="0" distB="0" distL="114935" distR="114935" simplePos="0" relativeHeight="22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16205" cy="132715"/>
              <wp:effectExtent l="0" t="0" r="0" b="0"/>
              <wp:wrapNone/>
              <wp:docPr id="10" name="框架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0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15pt;height:10.45pt;mso-wrap-distance-left:9.05pt;mso-wrap-distance-right:9.05pt;mso-wrap-distance-top:0pt;mso-wrap-distance-bottom:0pt;margin-top:0pt;mso-position-vertical-relative:text;margin-left:222.2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8"/>
      </w:rPr>
    </w:r>
    <w:r>
      <mc:AlternateContent>
        <mc:Choice Requires="wps">
          <w:drawing>
            <wp:anchor distT="0" distB="0" distL="114935" distR="114935" simplePos="0" relativeHeight="11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11" name="框架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24.4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chineseCountingThousand"/>
      <w:suff w:val="space"/>
      <w:lvlText w:val="%1、"/>
      <w:lvlJc w:val="start"/>
      <w:pPr>
        <w:tabs>
          <w:tab w:pos="0" w:val="num"/>
        </w:tabs>
        <w:ind w:hanging="425" w:start="425"/>
      </w:pPr>
      <w:rPr>
        <w:rFonts w:ascii="宋体" w:cs="宋体" w:eastAsia="宋体" w:hAnsi="宋体" w:hint="eastAsia"/>
        <w:b w:val="false"/>
        <w:i w:val="false"/>
        <w:sz w:val="28"/>
      </w:rPr>
    </w:lvl>
    <w:lvl w:ilvl="1">
      <w:start w:val="1"/>
      <w:numFmt w:val="decimal"/>
      <w:pStyle w:val="Heading2"/>
      <w:isLgl/>
      <w:suff w:val="space"/>
      <w:lvlText w:val="%1.%2"/>
      <w:lvlJc w:val="start"/>
      <w:pPr>
        <w:tabs>
          <w:tab w:pos="0" w:val="num"/>
        </w:tabs>
        <w:ind w:hanging="567" w:start="992"/>
      </w:pPr>
      <w:rPr>
        <w:rFonts w:ascii="宋体" w:cs="宋体" w:eastAsia="宋体" w:hAnsi="宋体" w:hint="eastAsia"/>
        <w:b w:val="false"/>
        <w:i w:val="false"/>
        <w:sz w:val="24"/>
      </w:rPr>
    </w:lvl>
    <w:lvl w:ilvl="2">
      <w:start w:val="1"/>
      <w:numFmt w:val="decimal"/>
      <w:pStyle w:val="Heading3"/>
      <w:isLgl/>
      <w:suff w:val="space"/>
      <w:lvlText w:val="%1.%2.%3"/>
      <w:lvlJc w:val="start"/>
      <w:pPr>
        <w:tabs>
          <w:tab w:pos="0" w:val="num"/>
        </w:tabs>
        <w:ind w:hanging="567" w:start="1418"/>
      </w:pPr>
      <w:rPr>
        <w:rFonts w:ascii="宋体" w:cs="宋体" w:eastAsia="宋体" w:hAnsi="宋体" w:hint="eastAsia"/>
        <w:b w:val="false"/>
        <w:i w:val="false"/>
        <w:sz w:val="24"/>
      </w:rPr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708" w:start="198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850" w:start="2551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34" w:start="3260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76" w:start="3827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18" w:start="4394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700" w:start="5102"/>
      </w:pPr>
      <w:rPr>
        <w:rFonts w:hint="eastAsia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3">
    <w:lvl w:ilvl="0">
      <w:start w:val="1"/>
      <w:numFmt w:val="bullet"/>
      <w:lvlText w:val="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4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6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7">
    <w:lvl w:ilvl="0">
      <w:start w:val="1"/>
      <w:numFmt w:val="chineseCountingThousand"/>
      <w:suff w:val="nothing"/>
      <w:lvlText w:val="%1、"/>
      <w:lvlJc w:val="start"/>
      <w:pPr>
        <w:tabs>
          <w:tab w:pos="0" w:val="num"/>
        </w:tabs>
        <w:ind w:firstLine="420" w:start="0"/>
      </w:pPr>
      <w:rPr>
        <w:rFonts w:hint="eastAsia"/>
      </w:rPr>
    </w:lvl>
  </w:abstractNum>
  <w:abstractNum w:abstractNumId="8">
    <w:lvl w:ilvl="0">
      <w:start w:val="1"/>
      <w:numFmt w:val="bullet"/>
      <w:lvlText w:val=""/>
      <w:lvlJc w:val="start"/>
      <w:pPr>
        <w:tabs>
          <w:tab w:pos="420" w:val="num"/>
        </w:tabs>
        <w:ind w:hanging="420" w:start="1260"/>
      </w:pPr>
      <w:rPr>
        <w:rFonts w:ascii="Wingdings" w:cs="Wingdings" w:hAnsi="Wingdings" w:hint="default"/>
      </w:rPr>
    </w:lvl>
    <w:lvl w:ilvl="1">
      <w:start w:val="1"/>
      <w:numFmt w:val="bullet"/>
      <w:lvlText w:val=""/>
      <w:lvlJc w:val="start"/>
      <w:pPr>
        <w:tabs>
          <w:tab w:pos="0" w:val="num"/>
        </w:tabs>
        <w:ind w:hanging="420" w:start="1680"/>
      </w:pPr>
      <w:rPr>
        <w:rFonts w:ascii="Wingdings" w:cs="Wingdings" w:hAnsi="Wingdings" w:hint="default"/>
      </w:rPr>
    </w:lvl>
    <w:lvl w:ilvl="2">
      <w:start w:val="1"/>
      <w:numFmt w:val="bullet"/>
      <w:lvlText w:val=""/>
      <w:lvlJc w:val="start"/>
      <w:pPr>
        <w:tabs>
          <w:tab w:pos="0" w:val="num"/>
        </w:tabs>
        <w:ind w:hanging="420" w:start="2100"/>
      </w:pPr>
      <w:rPr>
        <w:rFonts w:ascii="Wingdings" w:cs="Wingdings" w:hAnsi="Wingdings" w:hint="default"/>
      </w:rPr>
    </w:lvl>
    <w:lvl w:ilvl="3">
      <w:start w:val="1"/>
      <w:numFmt w:val="bullet"/>
      <w:lvlText w:val=""/>
      <w:lvlJc w:val="start"/>
      <w:pPr>
        <w:tabs>
          <w:tab w:pos="0" w:val="num"/>
        </w:tabs>
        <w:ind w:hanging="420" w:start="2520"/>
      </w:pPr>
      <w:rPr>
        <w:rFonts w:ascii="Wingdings" w:cs="Wingdings" w:hAnsi="Wingdings" w:hint="default"/>
      </w:rPr>
    </w:lvl>
    <w:lvl w:ilvl="4">
      <w:start w:val="1"/>
      <w:numFmt w:val="bullet"/>
      <w:lvlText w:val=""/>
      <w:lvlJc w:val="start"/>
      <w:pPr>
        <w:tabs>
          <w:tab w:pos="0" w:val="num"/>
        </w:tabs>
        <w:ind w:hanging="420" w:start="2940"/>
      </w:pPr>
      <w:rPr>
        <w:rFonts w:ascii="Wingdings" w:cs="Wingdings" w:hAnsi="Wingdings" w:hint="default"/>
      </w:rPr>
    </w:lvl>
    <w:lvl w:ilvl="5">
      <w:start w:val="1"/>
      <w:numFmt w:val="bullet"/>
      <w:lvlText w:val=""/>
      <w:lvlJc w:val="start"/>
      <w:pPr>
        <w:tabs>
          <w:tab w:pos="0" w:val="num"/>
        </w:tabs>
        <w:ind w:hanging="420" w:start="3360"/>
      </w:pPr>
      <w:rPr>
        <w:rFonts w:ascii="Wingdings" w:cs="Wingdings" w:hAnsi="Wingdings" w:hint="default"/>
      </w:rPr>
    </w:lvl>
    <w:lvl w:ilvl="6">
      <w:start w:val="1"/>
      <w:numFmt w:val="bullet"/>
      <w:lvlText w:val=""/>
      <w:lvlJc w:val="start"/>
      <w:pPr>
        <w:tabs>
          <w:tab w:pos="0" w:val="num"/>
        </w:tabs>
        <w:ind w:hanging="420" w:start="3780"/>
      </w:pPr>
      <w:rPr>
        <w:rFonts w:ascii="Wingdings" w:cs="Wingdings" w:hAnsi="Wingdings" w:hint="default"/>
      </w:rPr>
    </w:lvl>
    <w:lvl w:ilvl="7">
      <w:start w:val="1"/>
      <w:numFmt w:val="bullet"/>
      <w:lvlText w:val=""/>
      <w:lvlJc w:val="start"/>
      <w:pPr>
        <w:tabs>
          <w:tab w:pos="0" w:val="num"/>
        </w:tabs>
        <w:ind w:hanging="420" w:start="4200"/>
      </w:pPr>
      <w:rPr>
        <w:rFonts w:ascii="Wingdings" w:cs="Wingdings" w:hAnsi="Wingdings" w:hint="default"/>
      </w:rPr>
    </w:lvl>
    <w:lvl w:ilvl="8">
      <w:start w:val="1"/>
      <w:numFmt w:val="bullet"/>
      <w:lvlText w:val=""/>
      <w:lvlJc w:val="start"/>
      <w:pPr>
        <w:tabs>
          <w:tab w:pos="0" w:val="num"/>
        </w:tabs>
        <w:ind w:hanging="420" w:start="462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4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  <w:adjustLineHeightInTable/>
    <w:compatSetting w:name="compatibilityMode" w:uri="http://schemas.microsoft.com/office/word" w:val="1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Arial" w:eastAsia="Noto Serif SC" w:hAnsi="Liberation Serif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  <w:jc w:val="both"/>
    </w:pPr>
    <w:rPr>
      <w:rFonts w:ascii="Times New Roman" w:cs="Times New Roman" w:eastAsia="宋体" w:hAnsi="Times New Roman"/>
      <w:color w:val="auto"/>
      <w:kern w:val="2"/>
      <w:sz w:val="21"/>
      <w:szCs w:val="24"/>
      <w:lang w:bidi="ar-SA" w:eastAsia="zh-CN" w:val="en-US"/>
    </w:rPr>
  </w:style>
  <w:style w:styleId="Heading1" w:type="paragraph">
    <w:name w:val="heading 1"/>
    <w:basedOn w:val="Normal"/>
    <w:next w:val="Normal"/>
    <w:qFormat/>
    <w:pPr>
      <w:keepNext w:val="true"/>
      <w:keepLines/>
      <w:numPr>
        <w:numId w:val="0"/>
      </w:numPr>
      <w:spacing w:after="330" w:before="340" w:line="576" w:lineRule="auto"/>
      <w:outlineLvl w:val="0"/>
    </w:pPr>
    <w:rPr>
      <w:b/>
      <w:bCs/>
      <w:kern w:val="2"/>
      <w:sz w:val="44"/>
      <w:szCs w:val="44"/>
    </w:rPr>
  </w:style>
  <w:style w:styleId="Heading2" w:type="paragraph">
    <w:name w:val="heading 2"/>
    <w:basedOn w:val="Normal"/>
    <w:next w:val="Normal"/>
    <w:qFormat/>
    <w:pPr>
      <w:keepNext w:val="true"/>
      <w:keepLines/>
      <w:numPr>
        <w:ilvl w:val="1"/>
        <w:numId w:val="0"/>
      </w:numPr>
      <w:spacing w:after="50" w:before="50"/>
      <w:ind w:end="0" w:endChars="0" w:firstLine="0" w:firstLineChars="0" w:start="0" w:startChars="0"/>
      <w:jc w:val="start"/>
      <w:outlineLvl w:val="1"/>
    </w:pPr>
    <w:rPr>
      <w:rFonts w:ascii="黑体" w:cs="Times New Roman" w:hAnsi="黑体"/>
      <w:b/>
      <w:bCs/>
      <w:szCs w:val="32"/>
    </w:rPr>
  </w:style>
  <w:style w:styleId="Heading3" w:type="paragraph">
    <w:name w:val="heading 3"/>
    <w:basedOn w:val="Normal"/>
    <w:next w:val="Normal"/>
    <w:qFormat/>
    <w:pPr>
      <w:keepNext w:val="true"/>
      <w:keepLines/>
      <w:numPr>
        <w:ilvl w:val="2"/>
        <w:numId w:val="0"/>
      </w:numPr>
      <w:ind w:end="0" w:endChars="0" w:firstLine="0" w:firstLineChars="0" w:start="0" w:startChars="0"/>
      <w:jc w:val="start"/>
      <w:outlineLvl w:val="2"/>
    </w:pPr>
    <w:rPr>
      <w:rFonts w:ascii="黑体" w:cs="黑体" w:hAnsi="黑体"/>
      <w:bCs/>
      <w:szCs w:val="32"/>
    </w:rPr>
  </w:style>
  <w:style w:styleId="WW8Num1z0" w:type="character">
    <w:name w:val="WW8Num1z0"/>
    <w:qFormat/>
    <w:rPr>
      <w:rFonts w:ascii="Wingdings" w:cs="Wingdings" w:hAnsi="Wingdings"/>
    </w:rPr>
  </w:style>
  <w:style w:styleId="WW8Num2z0" w:type="character">
    <w:name w:val="WW8Num2z0"/>
    <w:qFormat/>
    <w:rPr>
      <w:rFonts w:ascii="Wingdings" w:cs="Wingdings" w:hAnsi="Wingdings"/>
    </w:rPr>
  </w:style>
  <w:style w:styleId="WW8Num3z0" w:type="character">
    <w:name w:val="WW8Num3z0"/>
    <w:qFormat/>
    <w:rPr>
      <w:rFonts w:hint="eastAsia"/>
    </w:rPr>
  </w:style>
  <w:style w:styleId="WW8Num4z0" w:type="character">
    <w:name w:val="WW8Num4z0"/>
    <w:qFormat/>
    <w:rPr>
      <w:rFonts w:ascii="Wingdings" w:cs="Wingdings" w:hAnsi="Wingdings"/>
    </w:rPr>
  </w:style>
  <w:style w:styleId="WW8Num5z0" w:type="character">
    <w:name w:val="WW8Num5z0"/>
    <w:qFormat/>
    <w:rPr>
      <w:rFonts w:hint="eastAsia"/>
    </w:rPr>
  </w:style>
  <w:style w:styleId="WW8Num6z0" w:type="character">
    <w:name w:val="WW8Num6z0"/>
    <w:qFormat/>
    <w:rPr>
      <w:rFonts w:hint="eastAsia"/>
    </w:rPr>
  </w:style>
  <w:style w:styleId="WW8Num7z0" w:type="character">
    <w:name w:val="WW8Num7z0"/>
    <w:qFormat/>
    <w:rPr>
      <w:rFonts w:ascii="Wingdings" w:cs="Wingdings" w:hAnsi="Wingdings"/>
    </w:rPr>
  </w:style>
  <w:style w:styleId="WW8Num8z0" w:type="character">
    <w:name w:val="WW8Num8z0"/>
    <w:qFormat/>
    <w:rPr>
      <w:rFonts w:ascii="宋体" w:cs="宋体" w:eastAsia="宋体" w:hAnsi="宋体" w:hint="eastAsia"/>
      <w:b w:val="false"/>
      <w:i w:val="false"/>
      <w:sz w:val="28"/>
    </w:rPr>
  </w:style>
  <w:style w:styleId="WW8Num8z1" w:type="character">
    <w:name w:val="WW8Num8z1"/>
    <w:qFormat/>
    <w:rPr>
      <w:rFonts w:ascii="宋体" w:cs="宋体" w:eastAsia="宋体" w:hAnsi="宋体" w:hint="eastAsia"/>
      <w:b w:val="false"/>
      <w:i w:val="false"/>
      <w:sz w:val="24"/>
    </w:rPr>
  </w:style>
  <w:style w:styleId="WW8Num8z3" w:type="character">
    <w:name w:val="WW8Num8z3"/>
    <w:qFormat/>
    <w:rPr>
      <w:rFonts w:hint="eastAsia"/>
    </w:rPr>
  </w:style>
  <w:style w:styleId="Style11" w:type="character">
    <w:name w:val="默认段落字体"/>
    <w:qFormat/>
    <w:rPr/>
  </w:style>
  <w:style w:styleId="Char" w:type="character">
    <w:name w:val="页脚 Char"/>
    <w:qFormat/>
    <w:rPr>
      <w:kern w:val="2"/>
      <w:sz w:val="18"/>
      <w:szCs w:val="18"/>
    </w:rPr>
  </w:style>
  <w:style w:styleId="Char1" w:type="character">
    <w:name w:val="页眉 Char"/>
    <w:qFormat/>
    <w:rPr>
      <w:kern w:val="2"/>
      <w:sz w:val="18"/>
      <w:szCs w:val="18"/>
    </w:rPr>
  </w:style>
  <w:style w:styleId="Char2" w:type="character">
    <w:name w:val="无间隔 Char"/>
    <w:qFormat/>
    <w:rPr>
      <w:rFonts w:ascii="Calibri" w:cs="Calibri" w:hAnsi="Calibri"/>
      <w:sz w:val="22"/>
      <w:szCs w:val="22"/>
      <w:lang w:bidi="ar-SA"/>
    </w:rPr>
  </w:style>
  <w:style w:styleId="Style12" w:type="character">
    <w:name w:val="页脚 字符"/>
    <w:basedOn w:val="Style11"/>
    <w:qFormat/>
    <w:rPr/>
  </w:style>
  <w:style w:styleId="Style13" w:type="paragraph">
    <w:name w:val="标题样式"/>
    <w:basedOn w:val="Normal"/>
    <w:next w:val="BodyText"/>
    <w:qFormat/>
    <w:pPr>
      <w:keepNext w:val="true"/>
      <w:spacing w:after="120" w:before="240"/>
    </w:pPr>
    <w:rPr>
      <w:rFonts w:ascii="Liberation Sans" w:cs="Arial" w:eastAsia="Noto Sans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Arial"/>
      <w:i/>
      <w:iCs/>
      <w:sz w:val="24"/>
      <w:szCs w:val="24"/>
    </w:rPr>
  </w:style>
  <w:style w:styleId="Style14" w:type="paragraph">
    <w:name w:val="索引"/>
    <w:basedOn w:val="Normal"/>
    <w:qFormat/>
    <w:pPr>
      <w:suppressLineNumbers/>
    </w:pPr>
    <w:rPr>
      <w:rFonts w:cs="Arial"/>
    </w:rPr>
  </w:style>
  <w:style w:styleId="Style15" w:type="paragraph">
    <w:name w:val="页眉与页脚"/>
    <w:basedOn w:val="Normal"/>
    <w:qFormat/>
    <w:pPr>
      <w:suppressLineNumbers/>
      <w:tabs>
        <w:tab w:pos="420" w:val="clear"/>
        <w:tab w:leader="none" w:pos="4819" w:val="center"/>
        <w:tab w:leader="none" w:pos="9638" w:val="right"/>
      </w:tabs>
    </w:pPr>
    <w:rPr/>
  </w:style>
  <w:style w:styleId="Footer" w:type="paragraph">
    <w:name w:val="footer"/>
    <w:basedOn w:val="Normal"/>
    <w:pPr>
      <w:tabs>
        <w:tab w:pos="420" w:val="clear"/>
        <w:tab w:leader="none" w:pos="4153" w:val="center"/>
        <w:tab w:leader="none" w:pos="8306" w:val="right"/>
      </w:tabs>
      <w:snapToGrid w:val="false"/>
      <w:jc w:val="start"/>
    </w:pPr>
    <w:rPr>
      <w:sz w:val="18"/>
      <w:szCs w:val="18"/>
    </w:rPr>
  </w:style>
  <w:style w:styleId="Header" w:type="paragraph">
    <w:name w:val="header"/>
    <w:basedOn w:val="Normal"/>
    <w:pPr>
      <w:pBdr>
        <w:bottom w:color="000000" w:space="1" w:sz="6" w:val="single"/>
      </w:pBdr>
      <w:tabs>
        <w:tab w:pos="420" w:val="clear"/>
        <w:tab w:leader="none" w:pos="4153" w:val="center"/>
        <w:tab w:leader="none" w:pos="8306" w:val="right"/>
      </w:tabs>
      <w:snapToGrid w:val="false"/>
      <w:jc w:val="center"/>
    </w:pPr>
    <w:rPr>
      <w:sz w:val="18"/>
      <w:szCs w:val="18"/>
    </w:rPr>
  </w:style>
  <w:style w:styleId="Style16" w:type="paragraph">
    <w:name w:val="普通(网站)"/>
    <w:basedOn w:val="Normal"/>
    <w:qFormat/>
    <w:pPr>
      <w:widowControl/>
      <w:spacing w:after="100" w:before="100"/>
      <w:ind w:end="0" w:endChars="0" w:firstLine="0" w:firstLineChars="0" w:start="0" w:startChars="0"/>
      <w:jc w:val="start"/>
    </w:pPr>
    <w:rPr>
      <w:rFonts w:ascii="宋体" w:cs="宋体" w:hAnsi="宋体"/>
      <w:kern w:val="0"/>
      <w:szCs w:val="24"/>
    </w:rPr>
  </w:style>
  <w:style w:styleId="Style17" w:type="paragraph">
    <w:name w:val="无间隔"/>
    <w:qFormat/>
    <w:pPr>
      <w:widowControl/>
      <w:bidi w:val="0"/>
    </w:pPr>
    <w:rPr>
      <w:rFonts w:ascii="Calibri" w:cs="Calibri" w:eastAsia="宋体" w:hAnsi="Calibri"/>
      <w:color w:val="auto"/>
      <w:sz w:val="22"/>
      <w:szCs w:val="22"/>
      <w:lang w:bidi="ar-SA" w:eastAsia="zh-CN" w:val="en-US"/>
    </w:rPr>
  </w:style>
  <w:style w:styleId="ListParagraph" w:type="paragraph">
    <w:name w:val="List Paragraph"/>
    <w:basedOn w:val="Normal"/>
    <w:qFormat/>
    <w:pPr>
      <w:ind w:end="0" w:firstLine="420" w:start="0"/>
    </w:pPr>
    <w:rPr/>
  </w:style>
  <w:style w:styleId="Style18" w:type="paragraph">
    <w:name w:val="图表标题"/>
    <w:basedOn w:val="Normal"/>
    <w:next w:val="Normal"/>
    <w:qFormat/>
    <w:pPr>
      <w:ind w:end="0" w:endChars="0" w:firstLine="0" w:firstLineChars="0" w:start="0" w:startChars="0"/>
      <w:jc w:val="center"/>
    </w:pPr>
    <w:rPr>
      <w:b/>
      <w:sz w:val="21"/>
      <w:szCs w:val="21"/>
    </w:rPr>
  </w:style>
  <w:style w:styleId="Style19" w:type="paragraph">
    <w:name w:val="表格内容"/>
    <w:basedOn w:val="Normal"/>
    <w:qFormat/>
    <w:pPr>
      <w:widowControl w:val="false"/>
      <w:suppressLineNumbers/>
    </w:pPr>
    <w:rPr/>
  </w:style>
  <w:style w:styleId="Style20" w:type="paragraph">
    <w:name w:val="表格标题"/>
    <w:basedOn w:val="Style19"/>
    <w:qFormat/>
    <w:pPr>
      <w:suppressLineNumbers/>
      <w:jc w:val="center"/>
    </w:pPr>
    <w:rPr>
      <w:b/>
      <w:bCs/>
    </w:rPr>
  </w:style>
  <w:style w:styleId="Style21" w:type="paragraph">
    <w:name w:val="框架内容"/>
    <w:basedOn w:val="Normal"/>
    <w:qFormat/>
    <w:pPr/>
    <w:rPr/>
  </w:style>
  <w:style w:styleId="Style22" w:type="paragraph">
    <w:name w:val="页眉左侧"/>
    <w:basedOn w:val="Header"/>
    <w:qFormat/>
    <w:pPr>
      <w:suppressLineNumbers/>
      <w:tabs>
        <w:tab w:pos="4153" w:val="clear"/>
        <w:tab w:pos="8306" w:val="clear"/>
        <w:tab w:leader="none" w:pos="4535" w:val="center"/>
        <w:tab w:leader="none" w:pos="9070" w:val="right"/>
      </w:tabs>
    </w:pPr>
    <w:rPr/>
  </w:style>
  <w:style w:styleId="WW8Num1" w:type="numbering">
    <w:name w:val="WW8Num1"/>
    <w:qFormat/>
  </w:style>
  <w:style w:styleId="WW8Num2" w:type="numbering">
    <w:name w:val="WW8Num2"/>
    <w:qFormat/>
  </w:style>
  <w:style w:styleId="WW8Num3" w:type="numbering">
    <w:name w:val="WW8Num3"/>
    <w:qFormat/>
  </w:style>
  <w:style w:styleId="WW8Num4" w:type="numbering">
    <w:name w:val="WW8Num4"/>
    <w:qFormat/>
  </w:style>
  <w:style w:styleId="WW8Num5" w:type="numbering">
    <w:name w:val="WW8Num5"/>
    <w:qFormat/>
  </w:style>
  <w:style w:styleId="WW8Num6" w:type="numbering">
    <w:name w:val="WW8Num6"/>
    <w:qFormat/>
  </w:style>
  <w:style w:styleId="WW8Num7" w:type="numbering">
    <w:name w:val="WW8Num7"/>
    <w:qFormat/>
  </w:style>
  <w:style w:styleId="WW8Num8" w:type="numbering">
    <w:name w:val="WW8Num8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itle">
    <w:name w:val="Title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4" Type="http://schemas.openxmlformats.org/officeDocument/2006/relationships/numbering" Target="numbering.xml"/><Relationship Id="rId23" Type="http://schemas.openxmlformats.org/officeDocument/2006/relationships/styles" Target="styles.xml"/><Relationship Id="rId22" Type="http://schemas.openxmlformats.org/officeDocument/2006/relationships/settings" Target="settings.xml"/><Relationship Id="rId21" Type="http://schemas.openxmlformats.org/officeDocument/2006/relationships/webSettings" Target="webSettings.xml"/><Relationship Id="rId20" Type="http://schemas.openxmlformats.org/officeDocument/2006/relationships/fontTable" Target="fontTable.xml"/><Relationship Id="rId19" Type="http://schemas.openxmlformats.org/officeDocument/2006/relationships/theme" Target="theme/theme1.xml"/><Relationship Id="rId18" Type="http://schemas.openxmlformats.org/officeDocument/2006/relationships/footnotes" Target="footnotes.xml"/><Relationship Id="rId17" Type="http://schemas.openxmlformats.org/officeDocument/2006/relationships/comments" Target="comment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jpeg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39" Type="http://schemas.openxmlformats.org/officeDocument/2006/relationships/image" Target="media/rId39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83" Type="http://schemas.openxmlformats.org/officeDocument/2006/relationships/image" Target="media/rId83.png"/><Relationship Id="rId29" Type="http://schemas.openxmlformats.org/officeDocument/2006/relationships/image" Target="media/rId29.png"/><Relationship Id="rId53" Type="http://schemas.openxmlformats.org/officeDocument/2006/relationships/image" Target="media/rId53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9" Type="http://schemas.openxmlformats.org/officeDocument/2006/relationships/image" Target="media/rId69.png"/><Relationship Id="rId72" Type="http://schemas.openxmlformats.org/officeDocument/2006/relationships/image" Target="media/rId72.png"/><Relationship Id="rId92" Type="http://schemas.openxmlformats.org/officeDocument/2006/relationships/image" Target="media/rId92.png"/><Relationship Id="rId87" Type="http://schemas.openxmlformats.org/officeDocument/2006/relationships/image" Target="media/rId8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2026-08-12T15:18:53Z</dcterms:created>
  <dcterms:modified xsi:type="dcterms:W3CDTF">2026-08-12T15:18:53Z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