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某分布式光伏电站组件故障诊断与发电量预测"/>
    <w:p>
      <w:pPr>
        <w:pStyle w:val="Heading1"/>
      </w:pPr>
      <w:r>
        <w:rPr>
          <w:rFonts w:hint="eastAsia"/>
        </w:rPr>
        <w:t xml:space="preserve">某分布式光伏电站组件故障诊断与发电量预测</w: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针对一个含100块组件的分布式光伏电站，本文利用组件15日发电量、题目给定偏差率及同期气象数据，依次完成故障诊断、全站发电量预测和有限预算下的维修排序。任务一直接按照题目给出的偏差率阈值进行三分类，得到正常、隐裂和热斑组件分别为70、15和15块；每日输出仅用于补充遮挡现场复核提示，不覆盖主诊断。任务二以“日”为独立样本单位比较三类站级候选模型，采用逐日留一验证和一标准误差简约规则选择M0辐照度比例模型，其留一平均绝对误差为0.181</w:t>
      </w:r>
      <w:r>
        <w:t xml:space="preserve"> </w:t>
      </w:r>
      <w:r>
        <w:rPr>
          <w:rFonts w:hint="eastAsia"/>
        </w:rPr>
        <w:t xml:space="preserve">kWh。根据第16日气象预报，当前运行状态下全站发电量点预测为256.247</w:t>
      </w:r>
      <w:r>
        <w:t xml:space="preserve"> </w:t>
      </w:r>
      <w:r>
        <w:rPr>
          <w:rFonts w:hint="eastAsia"/>
        </w:rPr>
        <w:t xml:space="preserve">kWh，条件95%期望值置信区间为[256.058,</w:t>
      </w:r>
      <w:r>
        <w:t xml:space="preserve"> 256.436] </w:t>
      </w:r>
      <w:r>
        <w:rPr>
          <w:rFonts w:hint="eastAsia"/>
        </w:rPr>
        <w:t xml:space="preserve">kWh，单日预测区间为[255.655,</w:t>
      </w:r>
      <w:r>
        <w:t xml:space="preserve"> 256.839] </w:t>
      </w:r>
      <w:r>
        <w:rPr>
          <w:rFonts w:hint="eastAsia"/>
        </w:rPr>
        <w:t xml:space="preserve">kWh。任务三将故障组件按15日历史平均每日绝对可恢复损失排序，在等预算、独立且可加的维修假设下确定前10维修名单，历史平均每日增发量为5.781</w:t>
      </w:r>
      <w:r>
        <w:t xml:space="preserve"> </w:t>
      </w:r>
      <w:r>
        <w:rPr>
          <w:rFonts w:hint="eastAsia"/>
        </w:rPr>
        <w:t xml:space="preserve">kWh，反事实相对提升率为2.969%；按固定比例映射到第16日的补充增发量为7.608</w:t>
      </w:r>
      <w:r>
        <w:t xml:space="preserve"> </w:t>
      </w:r>
      <w:r>
        <w:rPr>
          <w:rFonts w:hint="eastAsia"/>
        </w:rPr>
        <w:t xml:space="preserve">kWh。本文结论适用于题目给定的偏差率定义、15日观测范围和上述维修可加假设，不将筛查提示解释为物理确诊，也不将条件区间解释为精确覆盖率或实际维修效果保证。</w:t>
      </w:r>
    </w:p>
    <w:p>
      <w:pPr>
        <w:pStyle w:val="BodyText"/>
      </w:pPr>
      <w:r>
        <w:rPr>
          <w:rFonts w:hint="eastAsia"/>
          <w:b/>
          <w:bCs/>
        </w:rPr>
        <w:t xml:space="preserve">关键词：</w:t>
      </w:r>
      <w:r>
        <w:t xml:space="preserve"> </w:t>
      </w:r>
      <w:r>
        <w:rPr>
          <w:rFonts w:hint="eastAsia"/>
        </w:rPr>
        <w:t xml:space="preserve">光伏组件；故障诊断；留一验证；发电量预测；维修排序</w:t>
      </w:r>
    </w:p>
    <w:bookmarkEnd w:id="9"/>
    <w:bookmarkStart w:id="12" w:name="一问题分析"/>
    <w:p>
      <w:pPr>
        <w:pStyle w:val="Heading2"/>
      </w:pPr>
      <w:r>
        <w:rPr>
          <w:rFonts w:hint="eastAsia"/>
        </w:rPr>
        <w:t xml:space="preserve">一、问题分析</w:t>
      </w:r>
    </w:p>
    <w:bookmarkStart w:id="10" w:name="问题重述"/>
    <w:p>
      <w:pPr>
        <w:pStyle w:val="Heading3"/>
      </w:pPr>
      <w:r>
        <w:t xml:space="preserve">1.1 </w:t>
      </w:r>
      <w:r>
        <w:rPr>
          <w:rFonts w:hint="eastAsia"/>
        </w:rPr>
        <w:t xml:space="preserve">问题重述</w:t>
      </w:r>
    </w:p>
    <w:p>
      <w:pPr>
        <w:pStyle w:val="FirstParagraph"/>
      </w:pPr>
      <w:r>
        <w:rPr>
          <w:rFonts w:hint="eastAsia"/>
        </w:rPr>
        <w:t xml:space="preserve">电站由100块额定功率相同的光伏组件组成，组件经组串、汇流和逆变器接入电网。题目给出了每块组件连续15日的发电量、15日平均发电量偏差率、组串和安装参数，以及同期15日气象数据和第16日气象预报[1]。要求在保持题目故障定义的前提下回答三个相互衔接的问题：</w:t>
      </w:r>
    </w:p>
    <w:p>
      <w:pPr>
        <w:pStyle w:val="Compact"/>
        <w:numPr>
          <w:ilvl w:val="0"/>
          <w:numId w:val="1001"/>
        </w:numPr>
      </w:pPr>
      <w:r>
        <w:rPr>
          <w:rFonts w:hint="eastAsia"/>
        </w:rPr>
        <w:t xml:space="preserve">根据偏差率判定正常、隐裂和热斑状态，并考察故障在组串、方位角、倾角和投运年限上的分布；</w:t>
      </w:r>
    </w:p>
    <w:p>
      <w:pPr>
        <w:pStyle w:val="Compact"/>
        <w:numPr>
          <w:ilvl w:val="0"/>
          <w:numId w:val="1001"/>
        </w:numPr>
      </w:pPr>
      <w:r>
        <w:rPr>
          <w:rFonts w:hint="eastAsia"/>
        </w:rPr>
        <w:t xml:space="preserve">以全站每日总发电量为目标，利用气象条件预测第16日当前未修复状态下的总发电量并给出不确定性范围；</w:t>
      </w:r>
    </w:p>
    <w:p>
      <w:pPr>
        <w:pStyle w:val="Compact"/>
        <w:numPr>
          <w:ilvl w:val="0"/>
          <w:numId w:val="1001"/>
        </w:numPr>
      </w:pPr>
      <w:r>
        <w:rPr>
          <w:rFonts w:hint="eastAsia"/>
        </w:rPr>
        <w:t xml:space="preserve">在最多修复10块组件的预算约束下，按可恢复发电量确定优先维修名单，并估算历史口径下的增发量以及第16日条件下的补充增发量。</w:t>
      </w:r>
    </w:p>
    <w:bookmarkEnd w:id="10"/>
    <w:bookmarkStart w:id="11" w:name="任务之间的关系"/>
    <w:p>
      <w:pPr>
        <w:pStyle w:val="Heading3"/>
      </w:pPr>
      <w:r>
        <w:t xml:space="preserve">1.2 </w:t>
      </w:r>
      <w:r>
        <w:rPr>
          <w:rFonts w:hint="eastAsia"/>
        </w:rPr>
        <w:t xml:space="preserve">任务之间的关系</w:t>
      </w:r>
    </w:p>
    <w:p>
      <w:pPr>
        <w:pStyle w:val="FirstParagraph"/>
      </w:pPr>
      <w:r>
        <w:rPr>
          <w:rFonts w:hint="eastAsia"/>
        </w:rPr>
        <w:t xml:space="preserve">三项任务并非三个独立的排序或预测问题。任务一首先给出进入维修候选集的故障组件；任务二使用所有组件的每日总量建立站级条件预测，不把100块组件的重复观测误当成100倍的独立气象样本；任务三的主排序继承任务一的故障集合，并严格采用15日历史平均每日绝对可恢复损失这一口径。第16日预测只用于将已经确定的维修集合映射到该日天气条件下的补充增发量，不反向改变历史主排序。</w:t>
      </w:r>
    </w:p>
    <w:p>
      <w:pPr>
        <w:pStyle w:val="BodyText"/>
      </w:pPr>
      <w:r>
        <w:rPr>
          <w:rFonts w:hint="eastAsia"/>
        </w:rPr>
        <w:t xml:space="preserve">三个任务采用不同建模层级，是由题目给出的信息粒度和所问对象共同决定的。任务一的判别指标与阈值均已给定，核心是把组件级偏差映射为状态并补充时间波动筛查，若再训练分类器反而会把参考示例误当标签并改变题意；任务二所问的是全站某一天的总量，而气象条件每天只有一组，因此应在站级、日尺度上建立少参数预测模型；任务三的预算单位相同，且现有数据只能支持组件收益独立相加，于是决策可归结为在故障集合中选择绝对可恢复电量最大的10块，而不是另设复杂组合优化。这个层级安排分别对应“规则判别—站级预测—有限名额决策”，也避免让数据不能识别的复杂度进入模型。</w:t>
      </w:r>
    </w:p>
    <w:p>
      <w:pPr>
        <w:pStyle w:val="BodyText"/>
      </w:pPr>
      <w:r>
        <w:rPr>
          <w:rFonts w:hint="eastAsia"/>
        </w:rPr>
        <w:t xml:space="preserve">因此，本文把正式输出分为三层：偏差率阈值给出的主诊断，时间波动筛查给出的辅助提示，以及在明确反事实和可加性条件下的预测与维修收益估计。这样既利用了每日数据中的时间信息，又不以辅助指标替换题目已经规定的诊断和排序定义。</w:t>
      </w:r>
    </w:p>
    <w:bookmarkEnd w:id="11"/>
    <w:bookmarkEnd w:id="12"/>
    <w:bookmarkStart w:id="15" w:name="二模型假设与符号说明"/>
    <w:p>
      <w:pPr>
        <w:pStyle w:val="Heading2"/>
      </w:pPr>
      <w:r>
        <w:rPr>
          <w:rFonts w:hint="eastAsia"/>
        </w:rPr>
        <w:t xml:space="preserve">二、模型假设与符号说明</w:t>
      </w:r>
    </w:p>
    <w:bookmarkStart w:id="13" w:name="模型假设"/>
    <w:p>
      <w:pPr>
        <w:pStyle w:val="Heading3"/>
      </w:pPr>
      <w:r>
        <w:t xml:space="preserve">2.1 </w:t>
      </w:r>
      <w:r>
        <w:rPr>
          <w:rFonts w:hint="eastAsia"/>
        </w:rPr>
        <w:t xml:space="preserve">模型假设</w:t>
      </w:r>
    </w:p>
    <w:p>
      <w:pPr>
        <w:pStyle w:val="FirstParagraph"/>
      </w:pPr>
      <w:r>
        <w:rPr>
          <w:rFonts w:hint="eastAsia"/>
        </w:rPr>
        <w:t xml:space="preserve">（1）题目给出的15日平均偏差率是任务一的正式诊断指标；参考示例标签只在独立分类完成后用于核验。</w:t>
      </w:r>
    </w:p>
    <w:p>
      <w:pPr>
        <w:pStyle w:val="BodyText"/>
      </w:pPr>
      <w:r>
        <w:rPr>
          <w:rFonts w:hint="eastAsia"/>
        </w:rPr>
        <w:t xml:space="preserve">（2）所有组件的日发电量均以kWh计，电站日总发电量等于100块组件日发电量之和。任务二的独立样本单位为“日”，因此有效气象场景数为15个。</w:t>
      </w:r>
    </w:p>
    <w:p>
      <w:pPr>
        <w:pStyle w:val="BodyText"/>
      </w:pPr>
      <w:r>
        <w:rPr>
          <w:rFonts w:hint="eastAsia"/>
        </w:rPr>
        <w:t xml:space="preserve">（3）维修后组件恢复到题目偏差率定义中的正常反事实状态。由于题目未给出不等维修成本、串联电流曲线、逆变器限发或共享停机信息，维修增益在任务三中按组件独立且可加处理。</w:t>
      </w:r>
    </w:p>
    <w:p>
      <w:pPr>
        <w:pStyle w:val="BodyText"/>
      </w:pPr>
      <w:r>
        <w:rPr>
          <w:rFonts w:hint="eastAsia"/>
        </w:rPr>
        <w:t xml:space="preserve">（4）遮挡辅助筛查只反映与正常同伴相比的时间波动异常。它可能受到传感器误差等因素影响，不能覆盖偏差率三分类，也不能单独证明热斑、隐裂或遮挡的物理成因。</w:t>
      </w:r>
    </w:p>
    <w:bookmarkEnd w:id="13"/>
    <w:bookmarkStart w:id="14" w:name="符号说明"/>
    <w:p>
      <w:pPr>
        <w:pStyle w:val="Heading3"/>
      </w:pPr>
      <w:r>
        <w:t xml:space="preserve">2.2 </w:t>
      </w:r>
      <w:r>
        <w:rPr>
          <w:rFonts w:hint="eastAsia"/>
        </w:rPr>
        <w:t xml:space="preserve">符号说明</w:t>
      </w:r>
    </w:p>
    <w:p>
      <w:pPr>
        <w:pStyle w:val="FirstParagraph"/>
      </w:pPr>
      <w:r>
        <w:rPr>
          <w:rFonts w:hint="eastAsia"/>
          <w:b/>
          <w:bCs/>
        </w:rPr>
        <w:t xml:space="preserve">表1</w:t>
      </w:r>
      <w:r>
        <w:rPr>
          <w:b/>
          <w:bCs/>
        </w:rPr>
        <w:t xml:space="preserve"> </w:t>
      </w:r>
      <w:r>
        <w:rPr>
          <w:rFonts w:hint="eastAsia"/>
          <w:b/>
          <w:bCs/>
        </w:rPr>
        <w:t xml:space="preserve">符号说明</w:t>
      </w:r>
    </w:p>
    <w:p>
      <w:pPr>
        <w:pStyle w:val="BodyText"/>
      </w:pPr>
      <w:r>
        <w:rPr>
          <w:rFonts w:hint="eastAsia"/>
        </w:rPr>
        <w:t xml:space="preserve">本文主要符号及其单位见表1。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符号</w:t>
            </w:r>
          </w:p>
        </w:tc>
        <w:tc>
          <w:tcPr/>
          <w:p>
            <w:pPr>
              <w:pStyle w:val="Compact"/>
              <w:jc w:val="left"/>
            </w:pPr>
            <w:r>
              <w:rPr>
                <w:rFonts w:hint="eastAsia"/>
              </w:rPr>
              <w:t xml:space="preserve">含义</w:t>
            </w:r>
          </w:p>
        </w:tc>
        <w:tc>
          <w:tcPr/>
          <w:p>
            <w:pPr>
              <w:pStyle w:val="Compact"/>
              <w:jc w:val="center"/>
            </w:pPr>
            <w:r>
              <w:rPr>
                <w:rFonts w:hint="eastAsia"/>
              </w:rPr>
              <w:t xml:space="preserve">单位</w:t>
            </w:r>
          </w:p>
        </w:tc>
      </w:tr>
      <w:tr>
        <w:tc>
          <w:tcPr/>
          <w:p>
            <w:pPr>
              <w:pStyle w:val="Compact"/>
              <w:jc w:val="center"/>
            </w:pPr>
            <m:oMath>
              <m:r>
                <m:t>i</m:t>
              </m:r>
            </m:oMath>
          </w:p>
        </w:tc>
        <w:tc>
          <w:tcPr/>
          <w:p>
            <w:pPr>
              <w:pStyle w:val="Compact"/>
              <w:jc w:val="left"/>
            </w:pPr>
            <w:r>
              <w:rPr>
                <w:rFonts w:hint="eastAsia"/>
              </w:rPr>
              <w:t xml:space="preserve">组件编号索引</w:t>
            </w:r>
          </w:p>
        </w:tc>
        <w:tc>
          <w:tcPr/>
          <w:p>
            <w:pPr>
              <w:pStyle w:val="Compact"/>
              <w:jc w:val="center"/>
            </w:pPr>
            <w:r>
              <w:t xml:space="preserve">—</w:t>
            </w:r>
          </w:p>
        </w:tc>
      </w:tr>
      <w:tr>
        <w:tc>
          <w:tcPr/>
          <w:p>
            <w:pPr>
              <w:pStyle w:val="Compact"/>
              <w:jc w:val="center"/>
            </w:pPr>
            <m:oMath>
              <m:r>
                <m:t>d</m:t>
              </m:r>
            </m:oMath>
          </w:p>
        </w:tc>
        <w:tc>
          <w:tcPr/>
          <w:p>
            <w:pPr>
              <w:pStyle w:val="Compact"/>
              <w:jc w:val="left"/>
            </w:pPr>
            <w:r>
              <w:rPr>
                <w:rFonts w:hint="eastAsia"/>
              </w:rPr>
              <w:t xml:space="preserve">观测日索引，</w:t>
            </w:r>
            <m:oMath>
              <m:r>
                <m:t>d</m:t>
              </m:r>
              <m:r>
                <m:rPr>
                  <m:sty m:val="p"/>
                </m:rPr>
                <m:t>=</m:t>
              </m:r>
              <m:r>
                <m:t>1</m:t>
              </m:r>
              <m:r>
                <m:rPr>
                  <m:sty m:val="p"/>
                </m:rPr>
                <m:t>,</m:t>
              </m:r>
              <m:r>
                <m:rPr>
                  <m:sty m:val="p"/>
                </m:rPr>
                <m:t>…</m:t>
              </m:r>
              <m:r>
                <m:rPr>
                  <m:sty m:val="p"/>
                </m:rPr>
                <m:t>,</m:t>
              </m:r>
              <m:r>
                <m:t>15</m:t>
              </m:r>
            </m:oMath>
          </w:p>
        </w:tc>
        <w:tc>
          <w:tcPr/>
          <w:p>
            <w:pPr>
              <w:pStyle w:val="Compact"/>
              <w:jc w:val="center"/>
            </w:pPr>
            <w:r>
              <w:rPr>
                <w:rFonts w:hint="eastAsia"/>
              </w:rPr>
              <w:t xml:space="preserve">日</w:t>
            </w:r>
          </w:p>
        </w:tc>
      </w:tr>
      <w:tr>
        <w:tc>
          <w:tcPr/>
          <w:p>
            <w:pPr>
              <w:pStyle w:val="Compact"/>
              <w:jc w:val="center"/>
            </w:pPr>
            <m:oMath>
              <m:sSub>
                <m:e>
                  <m:r>
                    <m:t>E</m:t>
                  </m:r>
                </m:e>
                <m:sub>
                  <m:r>
                    <m:t>i</m:t>
                  </m:r>
                  <m:r>
                    <m:t>d</m:t>
                  </m:r>
                </m:sub>
              </m:sSub>
            </m:oMath>
          </w:p>
        </w:tc>
        <w:tc>
          <w:tcPr/>
          <w:p>
            <w:pPr>
              <w:pStyle w:val="Compact"/>
              <w:jc w:val="left"/>
            </w:pPr>
            <w:r>
              <w:rPr>
                <w:rFonts w:hint="eastAsia"/>
              </w:rPr>
              <w:t xml:space="preserve">组件</w:t>
            </w:r>
            <m:oMath>
              <m:r>
                <m:t>i</m:t>
              </m:r>
            </m:oMath>
            <w:r>
              <w:rPr>
                <w:rFonts w:hint="eastAsia"/>
              </w:rPr>
              <w:t xml:space="preserve">在第</w:t>
            </w:r>
            <m:oMath>
              <m:r>
                <m:t>d</m:t>
              </m:r>
            </m:oMath>
            <w:r>
              <w:rPr>
                <w:rFonts w:hint="eastAsia"/>
              </w:rPr>
              <w:t xml:space="preserve">日的实际发电量</w:t>
            </w:r>
          </w:p>
        </w:tc>
        <w:tc>
          <w:tcPr/>
          <w:p>
            <w:pPr>
              <w:pStyle w:val="Compact"/>
              <w:jc w:val="center"/>
            </w:pPr>
            <w:r>
              <w:t xml:space="preserve">kWh</w:t>
            </w:r>
          </w:p>
        </w:tc>
      </w:tr>
      <w:tr>
        <w:tc>
          <w:tcPr/>
          <w:p>
            <w:pPr>
              <w:pStyle w:val="Compact"/>
              <w:jc w:val="center"/>
            </w:pPr>
            <m:oMath>
              <m:sSub>
                <m:e>
                  <m:r>
                    <m:t>b</m:t>
                  </m:r>
                </m:e>
                <m:sub>
                  <m:r>
                    <m:t>i</m:t>
                  </m:r>
                </m:sub>
              </m:sSub>
            </m:oMath>
          </w:p>
        </w:tc>
        <w:tc>
          <w:tcPr/>
          <w:p>
            <w:pPr>
              <w:pStyle w:val="Compact"/>
              <w:jc w:val="left"/>
            </w:pPr>
            <w:r>
              <w:rPr>
                <w:rFonts w:hint="eastAsia"/>
              </w:rPr>
              <w:t xml:space="preserve">组件</w:t>
            </w:r>
            <m:oMath>
              <m:r>
                <m:t>i</m:t>
              </m:r>
            </m:oMath>
            <w:r>
              <w:rPr>
                <w:rFonts w:hint="eastAsia"/>
              </w:rPr>
              <w:t xml:space="preserve">的给定15日平均偏差率（小数形式）</w:t>
            </w:r>
          </w:p>
        </w:tc>
        <w:tc>
          <w:tcPr/>
          <w:p>
            <w:pPr>
              <w:pStyle w:val="Compact"/>
              <w:jc w:val="center"/>
            </w:pPr>
            <w:r>
              <w:t xml:space="preserve">—</w:t>
            </w:r>
          </w:p>
        </w:tc>
      </w:tr>
      <w:tr>
        <w:tc>
          <w:tcPr/>
          <w:p>
            <w:pPr>
              <w:pStyle w:val="Compact"/>
              <w:jc w:val="center"/>
            </w:pPr>
            <m:oMath>
              <m:sSub>
                <m:e>
                  <m:r>
                    <m:t>H</m:t>
                  </m:r>
                </m:e>
                <m:sub>
                  <m:r>
                    <m:t>d</m:t>
                  </m:r>
                </m:sub>
              </m:sSub>
            </m:oMath>
          </w:p>
        </w:tc>
        <w:tc>
          <w:tcPr/>
          <w:p>
            <w:pPr>
              <w:pStyle w:val="Compact"/>
              <w:jc w:val="left"/>
            </w:pPr>
            <w:r>
              <w:rPr>
                <w:rFonts w:hint="eastAsia"/>
              </w:rPr>
              <w:t xml:space="preserve">第</w:t>
            </w:r>
            <m:oMath>
              <m:r>
                <m:t>d</m:t>
              </m:r>
            </m:oMath>
            <w:r>
              <w:rPr>
                <w:rFonts w:hint="eastAsia"/>
              </w:rPr>
              <w:t xml:space="preserve">日总辐照量</w:t>
            </w:r>
          </w:p>
        </w:tc>
        <w:tc>
          <w:tcPr/>
          <w:p>
            <w:pPr>
              <w:pStyle w:val="Compact"/>
              <w:jc w:val="center"/>
            </w:pPr>
            <w:r>
              <w:t xml:space="preserve">kWh/m²</w:t>
            </w:r>
          </w:p>
        </w:tc>
      </w:tr>
      <w:tr>
        <w:tc>
          <w:tcPr/>
          <w:p>
            <w:pPr>
              <w:pStyle w:val="Compact"/>
              <w:jc w:val="center"/>
            </w:pPr>
            <m:oMath>
              <m:sSub>
                <m:e>
                  <m:r>
                    <m:t>T</m:t>
                  </m:r>
                </m:e>
                <m:sub>
                  <m:r>
                    <m:t>d</m:t>
                  </m:r>
                </m:sub>
              </m:sSub>
              <m:r>
                <m:rPr>
                  <m:sty m:val="p"/>
                </m:rPr>
                <m:t>,</m:t>
              </m:r>
              <m:sSub>
                <m:e>
                  <m:r>
                    <m:t>W</m:t>
                  </m:r>
                </m:e>
                <m:sub>
                  <m:r>
                    <m:t>d</m:t>
                  </m:r>
                </m:sub>
              </m:sSub>
            </m:oMath>
          </w:p>
        </w:tc>
        <w:tc>
          <w:tcPr/>
          <w:p>
            <w:pPr>
              <w:pStyle w:val="Compact"/>
              <w:jc w:val="left"/>
            </w:pPr>
            <w:r>
              <w:rPr>
                <w:rFonts w:hint="eastAsia"/>
              </w:rPr>
              <w:t xml:space="preserve">第</w:t>
            </w:r>
            <m:oMath>
              <m:r>
                <m:t>d</m:t>
              </m:r>
            </m:oMath>
            <w:r>
              <w:rPr>
                <w:rFonts w:hint="eastAsia"/>
              </w:rPr>
              <w:t xml:space="preserve">日平均温度、平均风速</w:t>
            </w:r>
          </w:p>
        </w:tc>
        <w:tc>
          <w:tcPr/>
          <w:p>
            <w:pPr>
              <w:pStyle w:val="Compact"/>
              <w:jc w:val="center"/>
            </w:pPr>
            <w:r>
              <w:rPr>
                <w:rFonts w:hint="eastAsia"/>
              </w:rPr>
              <w:t xml:space="preserve">℃，m/s</w:t>
            </w:r>
          </w:p>
        </w:tc>
      </w:tr>
      <w:tr>
        <w:tc>
          <w:tcPr/>
          <w:p>
            <w:pPr>
              <w:pStyle w:val="Compact"/>
              <w:jc w:val="center"/>
            </w:pPr>
            <m:oMath>
              <m:sSub>
                <m:e>
                  <m:r>
                    <m:t>Y</m:t>
                  </m:r>
                </m:e>
                <m:sub>
                  <m:r>
                    <m:t>d</m:t>
                  </m:r>
                </m:sub>
              </m:sSub>
            </m:oMath>
          </w:p>
        </w:tc>
        <w:tc>
          <w:tcPr/>
          <w:p>
            <w:pPr>
              <w:pStyle w:val="Compact"/>
              <w:jc w:val="left"/>
            </w:pPr>
            <w:r>
              <w:rPr>
                <w:rFonts w:hint="eastAsia"/>
              </w:rPr>
              <w:t xml:space="preserve">电站第</w:t>
            </w:r>
            <m:oMath>
              <m:r>
                <m:t>d</m:t>
              </m:r>
            </m:oMath>
            <w:r>
              <w:rPr>
                <w:rFonts w:hint="eastAsia"/>
              </w:rPr>
              <w:t xml:space="preserve">日总发电量</w:t>
            </w:r>
          </w:p>
        </w:tc>
        <w:tc>
          <w:tcPr/>
          <w:p>
            <w:pPr>
              <w:pStyle w:val="Compact"/>
              <w:jc w:val="center"/>
            </w:pPr>
            <w:r>
              <w:t xml:space="preserve">kWh</w:t>
            </w:r>
          </w:p>
        </w:tc>
      </w:tr>
      <w:tr>
        <w:tc>
          <w:tcPr/>
          <w:p>
            <w:pPr>
              <w:pStyle w:val="Compact"/>
              <w:jc w:val="center"/>
            </w:pPr>
            <m:oMath>
              <m:sSub>
                <m:e>
                  <m:acc>
                    <m:accPr>
                      <m:chr m:val="‾"/>
                    </m:accPr>
                    <m:e>
                      <m:r>
                        <m:t>E</m:t>
                      </m:r>
                    </m:e>
                  </m:acc>
                </m:e>
                <m:sub>
                  <m:r>
                    <m:t>i</m:t>
                  </m:r>
                </m:sub>
              </m:sSub>
            </m:oMath>
          </w:p>
        </w:tc>
        <w:tc>
          <w:tcPr/>
          <w:p>
            <w:pPr>
              <w:pStyle w:val="Compact"/>
              <w:jc w:val="left"/>
            </w:pPr>
            <w:r>
              <w:rPr>
                <w:rFonts w:hint="eastAsia"/>
              </w:rPr>
              <w:t xml:space="preserve">组件</w:t>
            </w:r>
            <m:oMath>
              <m:r>
                <m:t>i</m:t>
              </m:r>
            </m:oMath>
            <w:r>
              <w:rPr>
                <w:rFonts w:hint="eastAsia"/>
              </w:rPr>
              <w:t xml:space="preserve">的15日平均实际发电量</w:t>
            </w:r>
          </w:p>
        </w:tc>
        <w:tc>
          <w:tcPr/>
          <w:p>
            <w:pPr>
              <w:pStyle w:val="Compact"/>
              <w:jc w:val="center"/>
            </w:pPr>
            <w:r>
              <w:t xml:space="preserve">kWh/day</w:t>
            </w:r>
          </w:p>
        </w:tc>
      </w:tr>
      <w:tr>
        <w:tc>
          <w:tcPr/>
          <w:p>
            <w:pPr>
              <w:pStyle w:val="Compact"/>
              <w:jc w:val="center"/>
            </w:pPr>
            <m:oMath>
              <m:sSubSup>
                <m:e>
                  <m:acc>
                    <m:accPr>
                      <m:chr m:val="‾"/>
                    </m:accPr>
                    <m:e>
                      <m:r>
                        <m:t>E</m:t>
                      </m:r>
                    </m:e>
                  </m:acc>
                </m:e>
                <m:sub>
                  <m:r>
                    <m:t>i</m:t>
                  </m:r>
                </m:sub>
                <m:sup>
                  <m:r>
                    <m:rPr>
                      <m:sty m:val="p"/>
                    </m:rPr>
                    <m:t>(</m:t>
                  </m:r>
                  <m:r>
                    <m:t>0</m:t>
                  </m:r>
                  <m:r>
                    <m:rPr>
                      <m:sty m:val="p"/>
                    </m:rPr>
                    <m:t>)</m:t>
                  </m:r>
                </m:sup>
              </m:sSubSup>
            </m:oMath>
          </w:p>
        </w:tc>
        <w:tc>
          <w:tcPr/>
          <w:p>
            <w:pPr>
              <w:pStyle w:val="Compact"/>
              <w:jc w:val="left"/>
            </w:pPr>
            <w:r>
              <w:rPr>
                <w:rFonts w:hint="eastAsia"/>
              </w:rPr>
              <w:t xml:space="preserve">正常反事实下组件</w:t>
            </w:r>
            <m:oMath>
              <m:r>
                <m:t>i</m:t>
              </m:r>
            </m:oMath>
            <w:r>
              <w:rPr>
                <w:rFonts w:hint="eastAsia"/>
              </w:rPr>
              <w:t xml:space="preserve">的平均发电量</w:t>
            </w:r>
          </w:p>
        </w:tc>
        <w:tc>
          <w:tcPr/>
          <w:p>
            <w:pPr>
              <w:pStyle w:val="Compact"/>
              <w:jc w:val="center"/>
            </w:pPr>
            <w:r>
              <w:t xml:space="preserve">kWh/day</w:t>
            </w:r>
          </w:p>
        </w:tc>
      </w:tr>
      <w:tr>
        <w:tc>
          <w:tcPr/>
          <w:p>
            <w:pPr>
              <w:pStyle w:val="Compact"/>
              <w:jc w:val="center"/>
            </w:pPr>
            <m:oMath>
              <m:sSub>
                <m:e>
                  <m:r>
                    <m:t>L</m:t>
                  </m:r>
                </m:e>
                <m:sub>
                  <m:r>
                    <m:t>i</m:t>
                  </m:r>
                </m:sub>
              </m:sSub>
            </m:oMath>
          </w:p>
        </w:tc>
        <w:tc>
          <w:tcPr/>
          <w:p>
            <w:pPr>
              <w:pStyle w:val="Compact"/>
              <w:jc w:val="left"/>
            </w:pPr>
            <w:r>
              <w:rPr>
                <w:rFonts w:hint="eastAsia"/>
              </w:rPr>
              <w:t xml:space="preserve">组件</w:t>
            </w:r>
            <m:oMath>
              <m:r>
                <m:t>i</m:t>
              </m:r>
            </m:oMath>
            <w:r>
              <w:rPr>
                <w:rFonts w:hint="eastAsia"/>
              </w:rPr>
              <w:t xml:space="preserve">的平均每日绝对可恢复损失</w:t>
            </w:r>
          </w:p>
        </w:tc>
        <w:tc>
          <w:tcPr/>
          <w:p>
            <w:pPr>
              <w:pStyle w:val="Compact"/>
              <w:jc w:val="center"/>
            </w:pPr>
            <w:r>
              <w:t xml:space="preserve">kWh/day</w:t>
            </w:r>
          </w:p>
        </w:tc>
      </w:tr>
    </w:tbl>
    <w:bookmarkEnd w:id="14"/>
    <w:bookmarkEnd w:id="15"/>
    <w:bookmarkStart w:id="22" w:name="三任务一组件故障诊断与分布分析"/>
    <w:p>
      <w:pPr>
        <w:pStyle w:val="Heading2"/>
      </w:pPr>
      <w:r>
        <w:rPr>
          <w:rFonts w:hint="eastAsia"/>
        </w:rPr>
        <w:t xml:space="preserve">三、任务一：组件故障诊断与分布分析</w:t>
      </w:r>
    </w:p>
    <w:bookmarkStart w:id="16" w:name="偏差率阈值分类"/>
    <w:p>
      <w:pPr>
        <w:pStyle w:val="Heading3"/>
      </w:pPr>
      <w:r>
        <w:t xml:space="preserve">3.1 </w:t>
      </w:r>
      <w:r>
        <w:rPr>
          <w:rFonts w:hint="eastAsia"/>
        </w:rPr>
        <w:t xml:space="preserve">偏差率阈值分类</w:t>
      </w:r>
    </w:p>
    <w:p>
      <w:pPr>
        <w:pStyle w:val="FirstParagraph"/>
      </w:pPr>
      <w:r>
        <w:rPr>
          <w:rFonts w:hint="eastAsia"/>
        </w:rPr>
        <w:t xml:space="preserve">题目已经给出偏差率的物理含义和三类阈值，因此任务一不再从参考标签反推分类器，而是直接把给定偏差率转为小数后进行确定性判别。令</w:t>
      </w:r>
      <m:oMath>
        <m:r>
          <m:t>N</m:t>
        </m:r>
      </m:oMath>
      <w:r>
        <w:t xml:space="preserve">、</w:t>
      </w:r>
      <m:oMath>
        <m:r>
          <m:t>M</m:t>
        </m:r>
      </m:oMath>
      <w:r>
        <w:t xml:space="preserve">、</w:t>
      </w:r>
      <m:oMath>
        <m:r>
          <m:t>H</m:t>
        </m:r>
      </m:oMath>
      <w:r>
        <w:rPr>
          <w:rFonts w:hint="eastAsia"/>
        </w:rPr>
        <w:t xml:space="preserve">分别表示正常、隐裂和热斑；对组件</w:t>
      </w:r>
      <m:oMath>
        <m:r>
          <m:t>i</m:t>
        </m:r>
      </m:oMath>
      <w:r>
        <w:rPr>
          <w:rFonts w:hint="eastAsia"/>
        </w:rPr>
        <w:t xml:space="preserve">，分类函数为</w:t>
      </w:r>
    </w:p>
    <w:p>
      <w:pPr>
        <w:pStyle w:val="BodyText"/>
      </w:pPr>
      <m:oMathPara>
        <m:oMathParaPr>
          <m:jc m:val="center"/>
        </m:oMathParaPr>
        <m:oMath>
          <m:sSub>
            <m:e>
              <m:r>
                <m:t>C</m:t>
              </m:r>
            </m:e>
            <m:sub>
              <m:r>
                <m:t>i</m:t>
              </m:r>
            </m:sub>
          </m:sSub>
          <m:r>
            <m:rPr>
              <m:sty m:val="p"/>
            </m:rPr>
            <m:t>=</m:t>
          </m:r>
          <m:r>
            <m:t>N</m:t>
          </m:r>
          <m:r>
            <m:t> </m:t>
          </m:r>
          <m:r>
            <m:rPr>
              <m:sty m:val="p"/>
            </m:rPr>
            <m:t>(</m:t>
          </m:r>
          <m:r>
            <m:rPr>
              <m:sty m:val="p"/>
            </m:rPr>
            <m:t>|</m:t>
          </m:r>
          <m:sSub>
            <m:e>
              <m:r>
                <m:t>b</m:t>
              </m:r>
            </m:e>
            <m:sub>
              <m:r>
                <m:t>i</m:t>
              </m:r>
            </m:sub>
          </m:sSub>
          <m:r>
            <m:rPr>
              <m:sty m:val="p"/>
            </m:rPr>
            <m:t>|</m:t>
          </m:r>
          <m:r>
            <m:rPr>
              <m:sty m:val="p"/>
            </m:rPr>
            <m:t>≤</m:t>
          </m:r>
          <m:r>
            <m:t>0.05</m:t>
          </m:r>
          <m:r>
            <m:rPr>
              <m:sty m:val="p"/>
            </m:rPr>
            <m:t>)</m:t>
          </m:r>
          <m:r>
            <m:rPr>
              <m:sty m:val="p"/>
            </m:rPr>
            <m:t>,</m:t>
          </m:r>
          <m:r>
            <m:t> </m:t>
          </m:r>
          <m:sSub>
            <m:e>
              <m:r>
                <m:t>C</m:t>
              </m:r>
            </m:e>
            <m:sub>
              <m:r>
                <m:t>i</m:t>
              </m:r>
            </m:sub>
          </m:sSub>
          <m:r>
            <m:rPr>
              <m:sty m:val="p"/>
            </m:rPr>
            <m:t>=</m:t>
          </m:r>
          <m:r>
            <m:t>M</m:t>
          </m:r>
          <m:r>
            <m:t> </m:t>
          </m:r>
          <m:r>
            <m:rPr>
              <m:sty m:val="p"/>
            </m:rPr>
            <m:t>(</m:t>
          </m:r>
          <m:r>
            <m:rPr>
              <m:sty m:val="p"/>
            </m:rPr>
            <m:t>−</m:t>
          </m:r>
          <m:r>
            <m:t>0.15</m:t>
          </m:r>
          <m:r>
            <m:rPr>
              <m:sty m:val="p"/>
            </m:rPr>
            <m:t>≤</m:t>
          </m:r>
          <m:sSub>
            <m:e>
              <m:r>
                <m:t>b</m:t>
              </m:r>
            </m:e>
            <m:sub>
              <m:r>
                <m:t>i</m:t>
              </m:r>
            </m:sub>
          </m:sSub>
          <m:r>
            <m:rPr>
              <m:sty m:val="p"/>
            </m:rPr>
            <m:t>&lt;</m:t>
          </m:r>
          <m:r>
            <m:rPr>
              <m:sty m:val="p"/>
            </m:rPr>
            <m:t>−</m:t>
          </m:r>
          <m:r>
            <m:t>0.05</m:t>
          </m:r>
          <m:r>
            <m:rPr>
              <m:sty m:val="p"/>
            </m:rPr>
            <m:t>)</m:t>
          </m:r>
          <m:r>
            <m:rPr>
              <m:sty m:val="p"/>
            </m:rPr>
            <m:t>,</m:t>
          </m:r>
          <m:r>
            <m:t> </m:t>
          </m:r>
          <m:sSub>
            <m:e>
              <m:r>
                <m:t>C</m:t>
              </m:r>
            </m:e>
            <m:sub>
              <m:r>
                <m:t>i</m:t>
              </m:r>
            </m:sub>
          </m:sSub>
          <m:r>
            <m:rPr>
              <m:sty m:val="p"/>
            </m:rPr>
            <m:t>=</m:t>
          </m:r>
          <m:r>
            <m:t>H</m:t>
          </m:r>
          <m:r>
            <m:t> </m:t>
          </m:r>
          <m:r>
            <m:rPr>
              <m:sty m:val="p"/>
            </m:rPr>
            <m:t>(</m:t>
          </m:r>
          <m:sSub>
            <m:e>
              <m:r>
                <m:t>b</m:t>
              </m:r>
            </m:e>
            <m:sub>
              <m:r>
                <m:t>i</m:t>
              </m:r>
            </m:sub>
          </m:sSub>
          <m:r>
            <m:rPr>
              <m:sty m:val="p"/>
            </m:rPr>
            <m:t>&lt;</m:t>
          </m:r>
          <m:r>
            <m:rPr>
              <m:sty m:val="p"/>
            </m:rPr>
            <m:t>−</m:t>
          </m:r>
          <m:r>
            <m:t>0.15</m:t>
          </m:r>
          <m:r>
            <m:rPr>
              <m:sty m:val="p"/>
            </m:rPr>
            <m:t>)</m:t>
          </m:r>
          <m:r>
            <m:rPr>
              <m:sty m:val="p"/>
            </m:rPr>
            <m:t>.</m:t>
          </m:r>
        </m:oMath>
      </m:oMathPara>
    </w:p>
    <w:p>
      <w:pPr>
        <w:pStyle w:val="FirstParagraph"/>
      </w:pPr>
      <w:r>
        <w:rPr>
          <w:rFonts w:hint="eastAsia"/>
        </w:rPr>
        <w:t xml:space="preserve">题目没有定义</w:t>
      </w:r>
      <m:oMath>
        <m:sSub>
          <m:e>
            <m:r>
              <m:t>b</m:t>
            </m:r>
          </m:e>
          <m:sub>
            <m:r>
              <m:t>i</m:t>
            </m:r>
          </m:sub>
        </m:sSub>
        <m:r>
          <m:rPr>
            <m:sty m:val="p"/>
          </m:rPr>
          <m:t>&gt;</m:t>
        </m:r>
        <m:r>
          <m:t>0.05</m:t>
        </m:r>
      </m:oMath>
      <w:r>
        <w:rPr>
          <w:rFonts w:hint="eastAsia"/>
        </w:rPr>
        <w:t xml:space="preserve">时的三分类含义，因此该区域不应被强行归类。当前数据中没有组件落入该区域，故全部100块组件均能按式（1）完成分类。分类完成后再与参考示例比较，作为独立核验而不是模型输入。</w:t>
      </w:r>
    </w:p>
    <w:bookmarkEnd w:id="16"/>
    <w:bookmarkStart w:id="17" w:name="遮挡辅助筛查"/>
    <w:p>
      <w:pPr>
        <w:pStyle w:val="Heading3"/>
      </w:pPr>
      <w:r>
        <w:t xml:space="preserve">3.2 </w:t>
      </w:r>
      <w:r>
        <w:rPr>
          <w:rFonts w:hint="eastAsia"/>
        </w:rPr>
        <w:t xml:space="preserve">遮挡辅助筛查</w:t>
      </w:r>
    </w:p>
    <w:p>
      <w:pPr>
        <w:pStyle w:val="FirstParagraph"/>
      </w:pPr>
      <w:r>
        <w:rPr>
          <w:rFonts w:hint="eastAsia"/>
        </w:rPr>
        <w:t xml:space="preserve">偏差率适合识别持续的平均损失，但遮挡可能表现为随时间变化的异常。为减少辐照度变化的影响，对</w:t>
      </w:r>
      <m:oMath>
        <m:sSub>
          <m:e>
            <m:r>
              <m:t>H</m:t>
            </m:r>
          </m:e>
          <m:sub>
            <m:r>
              <m:t>d</m:t>
            </m:r>
          </m:sub>
        </m:sSub>
        <m:r>
          <m:rPr>
            <m:sty m:val="p"/>
          </m:rPr>
          <m:t>&gt;</m:t>
        </m:r>
        <m:r>
          <m:t>0</m:t>
        </m:r>
      </m:oMath>
      <w:r>
        <w:rPr>
          <w:rFonts w:hint="eastAsia"/>
        </w:rPr>
        <w:t xml:space="preserve">的日期构造归一化输出</w:t>
      </w:r>
    </w:p>
    <w:p>
      <w:pPr>
        <w:pStyle w:val="BodyText"/>
      </w:pPr>
      <m:oMathPara>
        <m:oMathParaPr>
          <m:jc m:val="center"/>
        </m:oMathParaPr>
        <m:oMath>
          <m:sSub>
            <m:e>
              <m:r>
                <m:t>q</m:t>
              </m:r>
            </m:e>
            <m:sub>
              <m:r>
                <m:t>i</m:t>
              </m:r>
              <m:r>
                <m:t>d</m:t>
              </m:r>
            </m:sub>
          </m:sSub>
          <m:r>
            <m:rPr>
              <m:sty m:val="p"/>
            </m:rPr>
            <m:t>=</m:t>
          </m:r>
          <m:f>
            <m:fPr>
              <m:type m:val="bar"/>
            </m:fPr>
            <m:num>
              <m:sSub>
                <m:e>
                  <m:r>
                    <m:t>E</m:t>
                  </m:r>
                </m:e>
                <m:sub>
                  <m:r>
                    <m:t>i</m:t>
                  </m:r>
                  <m:r>
                    <m:t>d</m:t>
                  </m:r>
                </m:sub>
              </m:sSub>
            </m:num>
            <m:den>
              <m:sSub>
                <m:e>
                  <m:r>
                    <m:t>H</m:t>
                  </m:r>
                </m:e>
                <m:sub>
                  <m:r>
                    <m:t>d</m:t>
                  </m:r>
                </m:sub>
              </m:sSub>
            </m:den>
          </m:f>
          <m:r>
            <m:rPr>
              <m:sty m:val="p"/>
            </m:rPr>
            <m:t>.</m:t>
          </m:r>
        </m:oMath>
      </m:oMathPara>
    </w:p>
    <w:p>
      <w:pPr>
        <w:pStyle w:val="FirstParagraph"/>
      </w:pPr>
      <w:r>
        <w:rPr>
          <w:rFonts w:hint="eastAsia"/>
        </w:rPr>
        <w:t xml:space="preserve">对每块组件优先选择与其方位角、倾角相同且已判为正常的同伴；同配置正常同伴少于5块时，回退到全部正常组件。设该同伴集合为</w:t>
      </w:r>
      <m:oMath>
        <m:sSub>
          <m:e>
            <m:r>
              <m:t>P</m:t>
            </m:r>
          </m:e>
          <m:sub>
            <m:r>
              <m:t>i</m:t>
            </m:r>
          </m:sub>
        </m:sSub>
      </m:oMath>
      <w:r>
        <w:rPr>
          <w:rFonts w:hint="eastAsia"/>
        </w:rPr>
        <w:t xml:space="preserve">，以同伴每日中位数作为参照，并定义组件相对同伴的对数序列</w:t>
      </w:r>
    </w:p>
    <w:p>
      <w:pPr>
        <w:pStyle w:val="BodyText"/>
      </w:pPr>
      <m:oMathPara>
        <m:oMathParaPr>
          <m:jc m:val="center"/>
        </m:oMathParaPr>
        <m:oMath>
          <m:sSub>
            <m:e>
              <m:r>
                <m:t>r</m:t>
              </m:r>
            </m:e>
            <m:sub>
              <m:r>
                <m:t>i</m:t>
              </m:r>
              <m:r>
                <m:t>d</m:t>
              </m:r>
            </m:sub>
          </m:sSub>
          <m:r>
            <m:rPr>
              <m:sty m:val="p"/>
            </m:rPr>
            <m:t>=</m:t>
          </m:r>
          <m:r>
            <m:rPr>
              <m:sty m:val="p"/>
            </m:rPr>
            <m:t>log</m:t>
          </m:r>
          <m:d>
            <m:dPr>
              <m:begChr m:val="("/>
              <m:sepChr m:val=""/>
              <m:endChr m:val=")"/>
              <m:grow/>
            </m:dPr>
            <m:e>
              <m:f>
                <m:fPr>
                  <m:type m:val="bar"/>
                </m:fPr>
                <m:num>
                  <m:sSub>
                    <m:e>
                      <m:r>
                        <m:t>q</m:t>
                      </m:r>
                    </m:e>
                    <m:sub>
                      <m:r>
                        <m:t>i</m:t>
                      </m:r>
                      <m:r>
                        <m:t>d</m:t>
                      </m:r>
                    </m:sub>
                  </m:sSub>
                </m:num>
                <m:den>
                  <m:sSub>
                    <m:e>
                      <m:r>
                        <m:rPr>
                          <m:sty m:val="p"/>
                        </m:rPr>
                        <m:t>median</m:t>
                      </m:r>
                    </m:e>
                    <m:sub>
                      <m:r>
                        <m:t>j</m:t>
                      </m:r>
                      <m:r>
                        <m:rPr>
                          <m:sty m:val="p"/>
                        </m:rPr>
                        <m:t>∈</m:t>
                      </m:r>
                      <m:sSub>
                        <m:e>
                          <m:r>
                            <m:t>P</m:t>
                          </m:r>
                        </m:e>
                        <m:sub>
                          <m:r>
                            <m:t>i</m:t>
                          </m:r>
                        </m:sub>
                      </m:sSub>
                    </m:sub>
                  </m:sSub>
                  <m:sSub>
                    <m:e>
                      <m:r>
                        <m:t>q</m:t>
                      </m:r>
                    </m:e>
                    <m:sub>
                      <m:r>
                        <m:t>j</m:t>
                      </m:r>
                      <m:r>
                        <m:t>d</m:t>
                      </m:r>
                    </m:sub>
                  </m:sSub>
                </m:den>
              </m:f>
            </m:e>
          </m:d>
          <m:r>
            <m:rPr>
              <m:sty m:val="p"/>
            </m:rPr>
            <m:t>.</m:t>
          </m:r>
        </m:oMath>
      </m:oMathPara>
    </w:p>
    <w:p>
      <w:pPr>
        <w:pStyle w:val="FirstParagraph"/>
      </w:pPr>
      <w:r>
        <w:rPr>
          <w:rFonts w:hint="eastAsia"/>
        </w:rPr>
        <w:t xml:space="preserve">以稳健MAD尺度评估</w:t>
      </w:r>
      <m:oMath>
        <m:sSub>
          <m:e>
            <m:r>
              <m:t>r</m:t>
            </m:r>
          </m:e>
          <m:sub>
            <m:r>
              <m:t>i</m:t>
            </m:r>
            <m:r>
              <m:t>d</m:t>
            </m:r>
          </m:sub>
        </m:sSub>
      </m:oMath>
      <w:r>
        <w:rPr>
          <w:rFonts w:hint="eastAsia"/>
        </w:rPr>
        <w:t xml:space="preserve">的时间离散程度：只有当离散度超过正常同伴基线的稳健阈值，且至少两天出现同向或相邻异常时，才满足一种参照体系下的疑似遮挡条件。为降低同伴选择的影响，分别使用同配置正常同伴和全部正常组件两种参照；两者均标记时记为“疑似遮挡”，结果不一致时记为“筛查不稳定”，均未标记时记为“未发现疑似遮挡”。该筛查只提供现场复核优先级，不改变式（1）的类别。</w:t>
      </w:r>
    </w:p>
    <w:bookmarkEnd w:id="17"/>
    <w:bookmarkStart w:id="21" w:name="诊断结果与分布"/>
    <w:p>
      <w:pPr>
        <w:pStyle w:val="Heading3"/>
      </w:pPr>
      <w:r>
        <w:t xml:space="preserve">3.3 </w:t>
      </w:r>
      <w:r>
        <w:rPr>
          <w:rFonts w:hint="eastAsia"/>
        </w:rPr>
        <w:t xml:space="preserve">诊断结果与分布</w:t>
      </w:r>
    </w:p>
    <w:p>
      <w:pPr>
        <w:pStyle w:val="FirstParagraph"/>
      </w:pPr>
      <w:r>
        <w:rPr>
          <w:rFonts w:hint="eastAsia"/>
        </w:rPr>
        <w:t xml:space="preserve">分类结果如表2所示。正常组件70块，占70%；隐裂和热斑各15块，分别占15%。三类数量合计100，且与参考示例的独立核验一致率为100%。图1给出按组串汇总的组成比例，用于观察故障的集中位置；图中比例是描述性统计，不代表组串、方位角、倾角或投运年限对故障的因果影响。</w:t>
      </w:r>
    </w:p>
    <w:p>
      <w:pPr>
        <w:pStyle w:val="BodyText"/>
      </w:pPr>
      <w:r>
        <w:rPr>
          <w:rFonts w:hint="eastAsia"/>
          <w:b/>
          <w:bCs/>
        </w:rPr>
        <w:t xml:space="preserve">表2</w:t>
      </w:r>
      <w:r>
        <w:rPr>
          <w:b/>
          <w:bCs/>
        </w:rPr>
        <w:t xml:space="preserve"> </w:t>
      </w:r>
      <w:r>
        <w:rPr>
          <w:rFonts w:hint="eastAsia"/>
          <w:b/>
          <w:bCs/>
        </w:rPr>
        <w:t xml:space="preserve">任务一主诊断与遮挡筛查汇总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口径</w:t>
            </w:r>
          </w:p>
        </w:tc>
      </w:tr>
      <w:tr>
        <w:tc>
          <w:tcPr/>
          <w:p>
            <w:pPr>
              <w:pStyle w:val="Compact"/>
              <w:jc w:val="left"/>
            </w:pPr>
            <w:r>
              <w:rPr>
                <w:rFonts w:hint="eastAsia"/>
              </w:rPr>
              <w:t xml:space="preserve">正常组件数</w:t>
            </w:r>
          </w:p>
        </w:tc>
        <w:tc>
          <w:tcPr/>
          <w:p>
            <w:pPr>
              <w:pStyle w:val="Compact"/>
              <w:jc w:val="right"/>
            </w:pPr>
            <w:r>
              <w:t xml:space="preserve">70</w:t>
            </w:r>
          </w:p>
        </w:tc>
        <w:tc>
          <w:tcPr/>
          <w:p>
            <w:pPr>
              <w:pStyle w:val="Compact"/>
              <w:jc w:val="left"/>
            </w:pPr>
            <w:r>
              <w:rPr>
                <w:rFonts w:hint="eastAsia"/>
              </w:rPr>
              <w:t xml:space="preserve">式（1）正式分类</w:t>
            </w:r>
          </w:p>
        </w:tc>
      </w:tr>
      <w:tr>
        <w:tc>
          <w:tcPr/>
          <w:p>
            <w:pPr>
              <w:pStyle w:val="Compact"/>
              <w:jc w:val="left"/>
            </w:pPr>
            <w:r>
              <w:rPr>
                <w:rFonts w:hint="eastAsia"/>
              </w:rPr>
              <w:t xml:space="preserve">隐裂组件数</w:t>
            </w:r>
          </w:p>
        </w:tc>
        <w:tc>
          <w:tcPr/>
          <w:p>
            <w:pPr>
              <w:pStyle w:val="Compact"/>
              <w:jc w:val="right"/>
            </w:pPr>
            <w:r>
              <w:t xml:space="preserve">15</w:t>
            </w:r>
          </w:p>
        </w:tc>
        <w:tc>
          <w:tcPr/>
          <w:p>
            <w:pPr>
              <w:pStyle w:val="Compact"/>
              <w:jc w:val="left"/>
            </w:pPr>
            <w:r>
              <w:rPr>
                <w:rFonts w:hint="eastAsia"/>
              </w:rPr>
              <w:t xml:space="preserve">式（1）正式分类</w:t>
            </w:r>
          </w:p>
        </w:tc>
      </w:tr>
      <w:tr>
        <w:tc>
          <w:tcPr/>
          <w:p>
            <w:pPr>
              <w:pStyle w:val="Compact"/>
              <w:jc w:val="left"/>
            </w:pPr>
            <w:r>
              <w:rPr>
                <w:rFonts w:hint="eastAsia"/>
              </w:rPr>
              <w:t xml:space="preserve">热斑组件数</w:t>
            </w:r>
          </w:p>
        </w:tc>
        <w:tc>
          <w:tcPr/>
          <w:p>
            <w:pPr>
              <w:pStyle w:val="Compact"/>
              <w:jc w:val="right"/>
            </w:pPr>
            <w:r>
              <w:t xml:space="preserve">15</w:t>
            </w:r>
          </w:p>
        </w:tc>
        <w:tc>
          <w:tcPr/>
          <w:p>
            <w:pPr>
              <w:pStyle w:val="Compact"/>
              <w:jc w:val="left"/>
            </w:pPr>
            <w:r>
              <w:rPr>
                <w:rFonts w:hint="eastAsia"/>
              </w:rPr>
              <w:t xml:space="preserve">式（1）正式分类</w:t>
            </w:r>
          </w:p>
        </w:tc>
      </w:tr>
      <w:tr>
        <w:tc>
          <w:tcPr/>
          <w:p>
            <w:pPr>
              <w:pStyle w:val="Compact"/>
              <w:jc w:val="left"/>
            </w:pPr>
            <w:r>
              <w:rPr>
                <w:rFonts w:hint="eastAsia"/>
              </w:rPr>
              <w:t xml:space="preserve">超出三分类定义域</w:t>
            </w:r>
          </w:p>
        </w:tc>
        <w:tc>
          <w:tcPr/>
          <w:p>
            <w:pPr>
              <w:pStyle w:val="Compact"/>
              <w:jc w:val="right"/>
            </w:pPr>
            <w:r>
              <w:t xml:space="preserve">0</w:t>
            </w:r>
          </w:p>
        </w:tc>
        <w:tc>
          <w:tcPr/>
          <w:p>
            <w:pPr>
              <w:pStyle w:val="Compact"/>
              <w:jc w:val="left"/>
            </w:pPr>
            <w:r>
              <w:rPr>
                <w:rFonts w:hint="eastAsia"/>
              </w:rPr>
              <w:t xml:space="preserve">正偏差超过5%的记录</w:t>
            </w:r>
          </w:p>
        </w:tc>
      </w:tr>
      <w:tr>
        <w:tc>
          <w:tcPr/>
          <w:p>
            <w:pPr>
              <w:pStyle w:val="Compact"/>
              <w:jc w:val="left"/>
            </w:pPr>
            <w:r>
              <w:rPr>
                <w:rFonts w:hint="eastAsia"/>
              </w:rPr>
              <w:t xml:space="preserve">分类完整率</w:t>
            </w:r>
          </w:p>
        </w:tc>
        <w:tc>
          <w:tcPr/>
          <w:p>
            <w:pPr>
              <w:pStyle w:val="Compact"/>
              <w:jc w:val="right"/>
            </w:pPr>
            <w:r>
              <w:t xml:space="preserve">100.0%</w:t>
            </w:r>
          </w:p>
        </w:tc>
        <w:tc>
          <w:tcPr/>
          <w:p>
            <w:pPr>
              <w:pStyle w:val="Compact"/>
              <w:jc w:val="left"/>
            </w:pPr>
            <w:r>
              <w:rPr>
                <w:rFonts w:hint="eastAsia"/>
              </w:rPr>
              <w:t xml:space="preserve">进入题目三分类定义域的组件比例</w:t>
            </w:r>
          </w:p>
        </w:tc>
      </w:tr>
      <w:tr>
        <w:tc>
          <w:tcPr/>
          <w:p>
            <w:pPr>
              <w:pStyle w:val="Compact"/>
              <w:jc w:val="left"/>
            </w:pPr>
            <w:r>
              <w:rPr>
                <w:rFonts w:hint="eastAsia"/>
              </w:rPr>
              <w:t xml:space="preserve">参考示例一致率</w:t>
            </w:r>
          </w:p>
        </w:tc>
        <w:tc>
          <w:tcPr/>
          <w:p>
            <w:pPr>
              <w:pStyle w:val="Compact"/>
              <w:jc w:val="right"/>
            </w:pPr>
            <w:r>
              <w:t xml:space="preserve">100.0%</w:t>
            </w:r>
          </w:p>
        </w:tc>
        <w:tc>
          <w:tcPr/>
          <w:p>
            <w:pPr>
              <w:pStyle w:val="Compact"/>
              <w:jc w:val="left"/>
            </w:pPr>
            <w:r>
              <w:rPr>
                <w:rFonts w:hint="eastAsia"/>
              </w:rPr>
              <w:t xml:space="preserve">分类完成后的独立核验</w:t>
            </w:r>
          </w:p>
        </w:tc>
      </w:tr>
      <w:tr>
        <w:tc>
          <w:tcPr/>
          <w:p>
            <w:pPr>
              <w:pStyle w:val="Compact"/>
              <w:jc w:val="left"/>
            </w:pPr>
            <w:r>
              <w:rPr>
                <w:rFonts w:hint="eastAsia"/>
              </w:rPr>
              <w:t xml:space="preserve">疑似遮挡</w:t>
            </w:r>
          </w:p>
        </w:tc>
        <w:tc>
          <w:tcPr/>
          <w:p>
            <w:pPr>
              <w:pStyle w:val="Compact"/>
              <w:jc w:val="right"/>
            </w:pPr>
            <w:r>
              <w:t xml:space="preserve">3</w:t>
            </w:r>
          </w:p>
        </w:tc>
        <w:tc>
          <w:tcPr/>
          <w:p>
            <w:pPr>
              <w:pStyle w:val="Compact"/>
              <w:jc w:val="left"/>
            </w:pPr>
            <w:r>
              <w:rPr>
                <w:rFonts w:hint="eastAsia"/>
              </w:rPr>
              <w:t xml:space="preserve">辅助筛查，不覆盖正式类别</w:t>
            </w:r>
          </w:p>
        </w:tc>
      </w:tr>
      <w:tr>
        <w:tc>
          <w:tcPr/>
          <w:p>
            <w:pPr>
              <w:pStyle w:val="Compact"/>
              <w:jc w:val="left"/>
            </w:pPr>
            <w:r>
              <w:rPr>
                <w:rFonts w:hint="eastAsia"/>
              </w:rPr>
              <w:t xml:space="preserve">筛查不稳定</w:t>
            </w:r>
          </w:p>
        </w:tc>
        <w:tc>
          <w:tcPr/>
          <w:p>
            <w:pPr>
              <w:pStyle w:val="Compact"/>
              <w:jc w:val="right"/>
            </w:pPr>
            <w:r>
              <w:t xml:space="preserve">12</w:t>
            </w:r>
          </w:p>
        </w:tc>
        <w:tc>
          <w:tcPr/>
          <w:p>
            <w:pPr>
              <w:pStyle w:val="Compact"/>
              <w:jc w:val="left"/>
            </w:pPr>
            <w:r>
              <w:rPr>
                <w:rFonts w:hint="eastAsia"/>
              </w:rPr>
              <w:t xml:space="preserve">辅助筛查，不覆盖正式类别</w:t>
            </w:r>
          </w:p>
        </w:tc>
      </w:tr>
    </w:tbl>
    <w:p>
      <w:pPr>
        <w:pStyle w:val="BodyText"/>
      </w:pPr>
      <w:r>
        <w:drawing>
          <wp:inline>
            <wp:extent cx="4800600" cy="3562693"/>
            <wp:effectExtent b="0" l="0" r="0" t="0"/>
            <wp:docPr descr="" title="" id="19" name="Picture"/>
            <a:graphic>
              <a:graphicData uri="http://schemas.openxmlformats.org/drawingml/2006/picture">
                <pic:pic>
                  <pic:nvPicPr>
                    <pic:cNvPr descr="figures/evidence_task1_fault_distribution.png" id="20" name="Picture"/>
                    <pic:cNvPicPr>
                      <a:picLocks noChangeArrowheads="1" noChangeAspect="1"/>
                    </pic:cNvPicPr>
                  </pic:nvPicPr>
                  <pic:blipFill>
                    <a:blip r:embed="rId18"/>
                    <a:stretch>
                      <a:fillRect/>
                    </a:stretch>
                  </pic:blipFill>
                  <pic:spPr bwMode="auto">
                    <a:xfrm>
                      <a:off x="0" y="0"/>
                      <a:ext cx="4800600" cy="3562693"/>
                    </a:xfrm>
                    <a:prstGeom prst="rect">
                      <a:avLst/>
                    </a:prstGeom>
                    <a:noFill/>
                    <a:ln w="9525">
                      <a:noFill/>
                      <a:headEnd/>
                      <a:tailEnd/>
                    </a:ln>
                  </pic:spPr>
                </pic:pic>
              </a:graphicData>
            </a:graphic>
          </wp:inline>
        </w:drawing>
      </w:r>
    </w:p>
    <w:p>
      <w:pPr>
        <w:pStyle w:val="BodyText"/>
      </w:pPr>
      <w:r>
        <w:rPr>
          <w:rFonts w:hint="eastAsia"/>
          <w:i/>
          <w:iCs/>
        </w:rPr>
        <w:t xml:space="preserve">图1</w:t>
      </w:r>
      <w:r>
        <w:rPr>
          <w:i/>
          <w:iCs/>
        </w:rPr>
        <w:t xml:space="preserve"> </w:t>
      </w:r>
      <w:r>
        <w:rPr>
          <w:rFonts w:hint="eastAsia"/>
          <w:i/>
          <w:iCs/>
        </w:rPr>
        <w:t xml:space="preserve">100块组件按组串的正式三分类构成。颜色和标注只表达式（1）的类别分布；遮挡筛查不参与该图的分类。</w:t>
      </w:r>
    </w:p>
    <w:p>
      <w:pPr>
        <w:pStyle w:val="BodyText"/>
      </w:pPr>
      <w:r>
        <w:rPr>
          <w:rFonts w:hint="eastAsia"/>
        </w:rPr>
        <w:t xml:space="preserve">从描述性比例看，STR2中热斑为5/7（71.4%），STR3中隐裂为6/12（50.0%），是相应组串中的较高比例；STR10虽然包含4块故障组件，但因总数为18块，故障比例为22.2%。按安装参数汇总，方位角175°、倾角24°的组合中故障13/32（40.6%），方位角180°、倾角25°的组合中故障7/41（17.1%），方位角185°、倾角26°的组合中故障10/27（37.0%）。按投运年限，1、2、3年组件的故障比例分别为21.4%、32.5%和34.4%。这些比例只描述当前样本中的集中现象；由于组串、安装参数和年限在布局中同步变化，不能据此把差异归因于某一个因素。</w:t>
      </w:r>
    </w:p>
    <w:p>
      <w:pPr>
        <w:pStyle w:val="BodyText"/>
      </w:pPr>
      <w:r>
        <w:rPr>
          <w:rFonts w:hint="eastAsia"/>
        </w:rPr>
        <w:t xml:space="preserve">遮挡状态与正式类别的交叉结果见表3。3块“疑似遮挡”组件全部同时属于热斑类别，但这只能说明筛查提示与主分类在本数据中的交集，不能据此断言遮挡造成了热斑。另有12块组件在两种参照体系下结论不一致，其中正常、隐裂和热斑分别有2、4和6块，说明辅助筛查应当作为现场检查提示，而不是替代偏差率诊断。</w:t>
      </w:r>
    </w:p>
    <w:p>
      <w:pPr>
        <w:pStyle w:val="BodyText"/>
      </w:pPr>
      <w:r>
        <w:rPr>
          <w:rFonts w:hint="eastAsia"/>
          <w:b/>
          <w:bCs/>
        </w:rPr>
        <w:t xml:space="preserve">表3</w:t>
      </w:r>
      <w:r>
        <w:rPr>
          <w:b/>
          <w:bCs/>
        </w:rPr>
        <w:t xml:space="preserve"> </w:t>
      </w:r>
      <w:r>
        <w:rPr>
          <w:rFonts w:hint="eastAsia"/>
          <w:b/>
          <w:bCs/>
        </w:rPr>
        <w:t xml:space="preserve">正式类别与遮挡辅助筛查交叉表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正式类别</w:t>
            </w:r>
          </w:p>
        </w:tc>
        <w:tc>
          <w:tcPr/>
          <w:p>
            <w:pPr>
              <w:pStyle w:val="Compact"/>
              <w:jc w:val="right"/>
            </w:pPr>
            <w:r>
              <w:rPr>
                <w:rFonts w:hint="eastAsia"/>
              </w:rPr>
              <w:t xml:space="preserve">未发现疑似遮挡</w:t>
            </w:r>
          </w:p>
        </w:tc>
        <w:tc>
          <w:tcPr/>
          <w:p>
            <w:pPr>
              <w:pStyle w:val="Compact"/>
              <w:jc w:val="right"/>
            </w:pPr>
            <w:r>
              <w:rPr>
                <w:rFonts w:hint="eastAsia"/>
              </w:rPr>
              <w:t xml:space="preserve">筛查不稳定</w:t>
            </w:r>
          </w:p>
        </w:tc>
        <w:tc>
          <w:tcPr/>
          <w:p>
            <w:pPr>
              <w:pStyle w:val="Compact"/>
              <w:jc w:val="right"/>
            </w:pPr>
            <w:r>
              <w:rPr>
                <w:rFonts w:hint="eastAsia"/>
              </w:rPr>
              <w:t xml:space="preserve">疑似遮挡</w:t>
            </w:r>
          </w:p>
        </w:tc>
        <w:tc>
          <w:tcPr/>
          <w:p>
            <w:pPr>
              <w:pStyle w:val="Compact"/>
              <w:jc w:val="right"/>
            </w:pPr>
            <w:r>
              <w:rPr>
                <w:rFonts w:hint="eastAsia"/>
              </w:rPr>
              <w:t xml:space="preserve">合计</w:t>
            </w:r>
          </w:p>
        </w:tc>
      </w:tr>
      <w:tr>
        <w:tc>
          <w:tcPr/>
          <w:p>
            <w:pPr>
              <w:pStyle w:val="Compact"/>
              <w:jc w:val="left"/>
            </w:pPr>
            <w:r>
              <w:rPr>
                <w:rFonts w:hint="eastAsia"/>
              </w:rPr>
              <w:t xml:space="preserve">正常</w:t>
            </w:r>
          </w:p>
        </w:tc>
        <w:tc>
          <w:tcPr/>
          <w:p>
            <w:pPr>
              <w:pStyle w:val="Compact"/>
              <w:jc w:val="right"/>
            </w:pPr>
            <w:r>
              <w:t xml:space="preserve">68</w:t>
            </w:r>
          </w:p>
        </w:tc>
        <w:tc>
          <w:tcPr/>
          <w:p>
            <w:pPr>
              <w:pStyle w:val="Compact"/>
              <w:jc w:val="right"/>
            </w:pPr>
            <w:r>
              <w:t xml:space="preserve">2</w:t>
            </w:r>
          </w:p>
        </w:tc>
        <w:tc>
          <w:tcPr/>
          <w:p>
            <w:pPr>
              <w:pStyle w:val="Compact"/>
              <w:jc w:val="right"/>
            </w:pPr>
            <w:r>
              <w:t xml:space="preserve">0</w:t>
            </w:r>
          </w:p>
        </w:tc>
        <w:tc>
          <w:tcPr/>
          <w:p>
            <w:pPr>
              <w:pStyle w:val="Compact"/>
              <w:jc w:val="right"/>
            </w:pPr>
            <w:r>
              <w:t xml:space="preserve">70</w:t>
            </w:r>
          </w:p>
        </w:tc>
      </w:tr>
      <w:tr>
        <w:tc>
          <w:tcPr/>
          <w:p>
            <w:pPr>
              <w:pStyle w:val="Compact"/>
              <w:jc w:val="left"/>
            </w:pPr>
            <w:r>
              <w:rPr>
                <w:rFonts w:hint="eastAsia"/>
              </w:rPr>
              <w:t xml:space="preserve">隐裂</w:t>
            </w:r>
          </w:p>
        </w:tc>
        <w:tc>
          <w:tcPr/>
          <w:p>
            <w:pPr>
              <w:pStyle w:val="Compact"/>
              <w:jc w:val="right"/>
            </w:pPr>
            <w:r>
              <w:t xml:space="preserve">11</w:t>
            </w:r>
          </w:p>
        </w:tc>
        <w:tc>
          <w:tcPr/>
          <w:p>
            <w:pPr>
              <w:pStyle w:val="Compact"/>
              <w:jc w:val="right"/>
            </w:pPr>
            <w:r>
              <w:t xml:space="preserve">4</w:t>
            </w:r>
          </w:p>
        </w:tc>
        <w:tc>
          <w:tcPr/>
          <w:p>
            <w:pPr>
              <w:pStyle w:val="Compact"/>
              <w:jc w:val="right"/>
            </w:pPr>
            <w:r>
              <w:t xml:space="preserve">0</w:t>
            </w:r>
          </w:p>
        </w:tc>
        <w:tc>
          <w:tcPr/>
          <w:p>
            <w:pPr>
              <w:pStyle w:val="Compact"/>
              <w:jc w:val="right"/>
            </w:pPr>
            <w:r>
              <w:t xml:space="preserve">15</w:t>
            </w:r>
          </w:p>
        </w:tc>
      </w:tr>
      <w:tr>
        <w:tc>
          <w:tcPr/>
          <w:p>
            <w:pPr>
              <w:pStyle w:val="Compact"/>
              <w:jc w:val="left"/>
            </w:pPr>
            <w:r>
              <w:rPr>
                <w:rFonts w:hint="eastAsia"/>
              </w:rPr>
              <w:t xml:space="preserve">热斑</w:t>
            </w:r>
          </w:p>
        </w:tc>
        <w:tc>
          <w:tcPr/>
          <w:p>
            <w:pPr>
              <w:pStyle w:val="Compact"/>
              <w:jc w:val="right"/>
            </w:pPr>
            <w:r>
              <w:t xml:space="preserve">6</w:t>
            </w:r>
          </w:p>
        </w:tc>
        <w:tc>
          <w:tcPr/>
          <w:p>
            <w:pPr>
              <w:pStyle w:val="Compact"/>
              <w:jc w:val="right"/>
            </w:pPr>
            <w:r>
              <w:t xml:space="preserve">6</w:t>
            </w:r>
          </w:p>
        </w:tc>
        <w:tc>
          <w:tcPr/>
          <w:p>
            <w:pPr>
              <w:pStyle w:val="Compact"/>
              <w:jc w:val="right"/>
            </w:pPr>
            <w:r>
              <w:t xml:space="preserve">3</w:t>
            </w:r>
          </w:p>
        </w:tc>
        <w:tc>
          <w:tcPr/>
          <w:p>
            <w:pPr>
              <w:pStyle w:val="Compact"/>
              <w:jc w:val="right"/>
            </w:pPr>
            <w:r>
              <w:t xml:space="preserve">15</w:t>
            </w:r>
          </w:p>
        </w:tc>
      </w:tr>
      <w:tr>
        <w:tc>
          <w:tcPr/>
          <w:p>
            <w:pPr>
              <w:pStyle w:val="Compact"/>
              <w:jc w:val="left"/>
            </w:pPr>
            <w:r>
              <w:rPr>
                <w:rFonts w:hint="eastAsia"/>
              </w:rPr>
              <w:t xml:space="preserve">合计</w:t>
            </w:r>
          </w:p>
        </w:tc>
        <w:tc>
          <w:tcPr/>
          <w:p>
            <w:pPr>
              <w:pStyle w:val="Compact"/>
              <w:jc w:val="right"/>
            </w:pPr>
            <w:r>
              <w:t xml:space="preserve">85</w:t>
            </w:r>
          </w:p>
        </w:tc>
        <w:tc>
          <w:tcPr/>
          <w:p>
            <w:pPr>
              <w:pStyle w:val="Compact"/>
              <w:jc w:val="right"/>
            </w:pPr>
            <w:r>
              <w:t xml:space="preserve">12</w:t>
            </w:r>
          </w:p>
        </w:tc>
        <w:tc>
          <w:tcPr/>
          <w:p>
            <w:pPr>
              <w:pStyle w:val="Compact"/>
              <w:jc w:val="right"/>
            </w:pPr>
            <w:r>
              <w:t xml:space="preserve">3</w:t>
            </w:r>
          </w:p>
        </w:tc>
        <w:tc>
          <w:tcPr/>
          <w:p>
            <w:pPr>
              <w:pStyle w:val="Compact"/>
              <w:jc w:val="right"/>
            </w:pPr>
            <w:r>
              <w:t xml:space="preserve">100</w:t>
            </w:r>
          </w:p>
        </w:tc>
      </w:tr>
    </w:tbl>
    <w:bookmarkEnd w:id="21"/>
    <w:bookmarkEnd w:id="22"/>
    <w:bookmarkStart w:id="29" w:name="四任务二全站第16日发电量预测"/>
    <w:p>
      <w:pPr>
        <w:pStyle w:val="Heading2"/>
      </w:pPr>
      <w:r>
        <w:rPr>
          <w:rFonts w:hint="eastAsia"/>
        </w:rPr>
        <w:t xml:space="preserve">四、任务二：全站第16日发电量预测</w:t>
      </w:r>
    </w:p>
    <w:bookmarkStart w:id="23" w:name="站级响应与候选模型"/>
    <w:p>
      <w:pPr>
        <w:pStyle w:val="Heading3"/>
      </w:pPr>
      <w:r>
        <w:t xml:space="preserve">4.1 </w:t>
      </w:r>
      <w:r>
        <w:rPr>
          <w:rFonts w:hint="eastAsia"/>
        </w:rPr>
        <w:t xml:space="preserve">站级响应与候选模型</w:t>
      </w:r>
    </w:p>
    <w:p>
      <w:pPr>
        <w:pStyle w:val="FirstParagraph"/>
      </w:pPr>
      <w:r>
        <w:rPr>
          <w:rFonts w:hint="eastAsia"/>
        </w:rPr>
        <w:t xml:space="preserve">将组件日发电量在站内求和，得到当前未修复运行状态下的站级响应</w:t>
      </w:r>
    </w:p>
    <w:p>
      <w:pPr>
        <w:pStyle w:val="BodyText"/>
      </w:pPr>
      <m:oMathPara>
        <m:oMathParaPr>
          <m:jc m:val="center"/>
        </m:oMathParaPr>
        <m:oMath>
          <m:sSub>
            <m:e>
              <m:r>
                <m:t>Y</m:t>
              </m:r>
            </m:e>
            <m:sub>
              <m:r>
                <m:t>d</m:t>
              </m:r>
            </m:sub>
          </m:sSub>
          <m:r>
            <m:rPr>
              <m:sty m:val="p"/>
            </m:rPr>
            <m:t>=</m:t>
          </m:r>
          <m:nary>
            <m:naryPr>
              <m:chr m:val="∑"/>
              <m:limLoc m:val="undOvr"/>
              <m:subHide m:val="off"/>
              <m:supHide m:val="off"/>
            </m:naryPr>
            <m:sub>
              <m:r>
                <m:t>i</m:t>
              </m:r>
              <m:r>
                <m:rPr>
                  <m:sty m:val="p"/>
                </m:rPr>
                <m:t>=</m:t>
              </m:r>
              <m:r>
                <m:t>1</m:t>
              </m:r>
            </m:sub>
            <m:sup>
              <m:r>
                <m:t>100</m:t>
              </m:r>
            </m:sup>
            <m:e>
              <m:sSub>
                <m:e>
                  <m:r>
                    <m:t>E</m:t>
                  </m:r>
                </m:e>
                <m:sub>
                  <m:r>
                    <m:t>i</m:t>
                  </m:r>
                  <m:r>
                    <m:t>d</m:t>
                  </m:r>
                </m:sub>
              </m:sSub>
            </m:e>
          </m:nary>
          <m:r>
            <m:rPr>
              <m:sty m:val="p"/>
            </m:rPr>
            <m:t>.</m:t>
          </m:r>
        </m:oMath>
      </m:oMathPara>
    </w:p>
    <w:p>
      <w:pPr>
        <w:pStyle w:val="FirstParagraph"/>
      </w:pPr>
      <w:r>
        <w:rPr>
          <w:rFonts w:hint="eastAsia"/>
        </w:rPr>
        <w:t xml:space="preserve">固定的组件方位角和倾角在站级日总量中不随</w:t>
      </w:r>
      <m:oMath>
        <m:r>
          <m:t>d</m:t>
        </m:r>
      </m:oMath>
      <w:r>
        <w:rPr>
          <w:rFonts w:hint="eastAsia"/>
        </w:rPr>
        <w:t xml:space="preserve">变化，其作用被总体性能系数吸收；天气类型与辐照度高度相关且类别样本较少，因此不作为主候选特征。围绕“太阳辐照决定发电量、温度和风速可能修正转换效率”的最小结构，比较以下三个候选模型。</w:t>
      </w:r>
    </w:p>
    <w:p>
      <w:pPr>
        <w:pStyle w:val="BodyText"/>
      </w:pPr>
      <w:r>
        <w:rPr>
          <w:rFonts w:hint="eastAsia"/>
        </w:rPr>
        <w:t xml:space="preserve">第一，M0为辐照度比例模型</w:t>
      </w:r>
    </w:p>
    <w:p>
      <w:pPr>
        <w:pStyle w:val="BodyText"/>
      </w:pPr>
      <m:oMathPara>
        <m:oMathParaPr>
          <m:jc m:val="center"/>
        </m:oMathParaPr>
        <m:oMath>
          <m:sSub>
            <m:e>
              <m:r>
                <m:t>Y</m:t>
              </m:r>
            </m:e>
            <m:sub>
              <m:r>
                <m:t>d</m:t>
              </m:r>
            </m:sub>
          </m:sSub>
          <m:r>
            <m:rPr>
              <m:sty m:val="p"/>
            </m:rPr>
            <m:t>=</m:t>
          </m:r>
          <m:sSub>
            <m:e>
              <m:r>
                <m:t>β</m:t>
              </m:r>
            </m:e>
            <m:sub>
              <m:r>
                <m:t>H</m:t>
              </m:r>
            </m:sub>
          </m:sSub>
          <m:sSub>
            <m:e>
              <m:r>
                <m:t>H</m:t>
              </m:r>
            </m:e>
            <m:sub>
              <m:r>
                <m:t>d</m:t>
              </m:r>
            </m:sub>
          </m:sSub>
          <m:r>
            <m:rPr>
              <m:sty m:val="p"/>
            </m:rPr>
            <m:t>+</m:t>
          </m:r>
          <m:sSub>
            <m:e>
              <m:r>
                <m:t>ε</m:t>
              </m:r>
            </m:e>
            <m:sub>
              <m:r>
                <m:t>d</m:t>
              </m:r>
            </m:sub>
          </m:sSub>
          <m:r>
            <m:rPr>
              <m:sty m:val="p"/>
            </m:rPr>
            <m:t>.</m:t>
          </m:r>
        </m:oMath>
      </m:oMathPara>
    </w:p>
    <w:p>
      <w:pPr>
        <w:pStyle w:val="FirstParagraph"/>
      </w:pPr>
      <w:r>
        <w:rPr>
          <w:rFonts w:hint="eastAsia"/>
        </w:rPr>
        <w:t xml:space="preserve">它在零辐照时给出零基准发电量，并用一个站级系数概括固定组件组合的平均性能。第二，M1加入截距作为对M0系统性失配的诊断</w:t>
      </w:r>
    </w:p>
    <w:p>
      <w:pPr>
        <w:pStyle w:val="BodyText"/>
      </w:pPr>
      <m:oMathPara>
        <m:oMathParaPr>
          <m:jc m:val="center"/>
        </m:oMathParaPr>
        <m:oMath>
          <m:sSub>
            <m:e>
              <m:r>
                <m:t>Y</m:t>
              </m:r>
            </m:e>
            <m:sub>
              <m:r>
                <m:t>d</m:t>
              </m:r>
            </m:sub>
          </m:sSub>
          <m:r>
            <m:rPr>
              <m:sty m:val="p"/>
            </m:rPr>
            <m:t>=</m:t>
          </m:r>
          <m:r>
            <m:t>α</m:t>
          </m:r>
          <m:r>
            <m:rPr>
              <m:sty m:val="p"/>
            </m:rPr>
            <m:t>+</m:t>
          </m:r>
          <m:sSub>
            <m:e>
              <m:r>
                <m:t>β</m:t>
              </m:r>
            </m:e>
            <m:sub>
              <m:r>
                <m:t>H</m:t>
              </m:r>
            </m:sub>
          </m:sSub>
          <m:sSub>
            <m:e>
              <m:r>
                <m:t>H</m:t>
              </m:r>
            </m:e>
            <m:sub>
              <m:r>
                <m:t>d</m:t>
              </m:r>
            </m:sub>
          </m:sSub>
          <m:r>
            <m:rPr>
              <m:sty m:val="p"/>
            </m:rPr>
            <m:t>+</m:t>
          </m:r>
          <m:sSub>
            <m:e>
              <m:r>
                <m:t>ε</m:t>
              </m:r>
            </m:e>
            <m:sub>
              <m:r>
                <m:t>d</m:t>
              </m:r>
            </m:sub>
          </m:sSub>
          <m:r>
            <m:rPr>
              <m:sty m:val="p"/>
            </m:rPr>
            <m:t>.</m:t>
          </m:r>
        </m:oMath>
      </m:oMathPara>
    </w:p>
    <w:p>
      <w:pPr>
        <w:pStyle w:val="FirstParagraph"/>
      </w:pPr>
      <w:r>
        <w:rPr>
          <w:rFonts w:hint="eastAsia"/>
        </w:rPr>
        <w:t xml:space="preserve">第三，M2使用以历史均值为中心的温度和风速修正效率</w:t>
      </w:r>
    </w:p>
    <w:p>
      <w:pPr>
        <w:pStyle w:val="BodyText"/>
      </w:pPr>
      <m:oMathPara>
        <m:oMathParaPr>
          <m:jc m:val="center"/>
        </m:oMathParaPr>
        <m:oMath>
          <m:sSub>
            <m:e>
              <m:r>
                <m:t>Y</m:t>
              </m:r>
            </m:e>
            <m:sub>
              <m:r>
                <m:t>d</m:t>
              </m:r>
            </m:sub>
          </m:sSub>
          <m:r>
            <m:rPr>
              <m:sty m:val="p"/>
            </m:rPr>
            <m:t>=</m:t>
          </m:r>
          <m:sSub>
            <m:e>
              <m:r>
                <m:t>H</m:t>
              </m:r>
            </m:e>
            <m:sub>
              <m:r>
                <m:t>d</m:t>
              </m:r>
            </m:sub>
          </m:sSub>
          <m:d>
            <m:dPr>
              <m:begChr m:val="["/>
              <m:sepChr m:val=""/>
              <m:endChr m:val="]"/>
              <m:grow/>
            </m:dPr>
            <m:e>
              <m:sSub>
                <m:e>
                  <m:r>
                    <m:t>β</m:t>
                  </m:r>
                </m:e>
                <m:sub>
                  <m:r>
                    <m:t>0</m:t>
                  </m:r>
                </m:sub>
              </m:sSub>
              <m:r>
                <m:rPr>
                  <m:sty m:val="p"/>
                </m:rPr>
                <m:t>+</m:t>
              </m:r>
              <m:sSub>
                <m:e>
                  <m:r>
                    <m:t>β</m:t>
                  </m:r>
                </m:e>
                <m:sub>
                  <m:r>
                    <m:t>T</m:t>
                  </m:r>
                </m:sub>
              </m:sSub>
              <m:r>
                <m:rPr>
                  <m:sty m:val="p"/>
                </m:rPr>
                <m:t>(</m:t>
              </m:r>
              <m:sSub>
                <m:e>
                  <m:r>
                    <m:t>T</m:t>
                  </m:r>
                </m:e>
                <m:sub>
                  <m:r>
                    <m:t>d</m:t>
                  </m:r>
                </m:sub>
              </m:sSub>
              <m:r>
                <m:rPr>
                  <m:sty m:val="p"/>
                </m:rPr>
                <m:t>−</m:t>
              </m:r>
              <m:acc>
                <m:accPr>
                  <m:chr m:val="‾"/>
                </m:accPr>
                <m:e>
                  <m:r>
                    <m:t>T</m:t>
                  </m:r>
                </m:e>
              </m:acc>
              <m:r>
                <m:rPr>
                  <m:sty m:val="p"/>
                </m:rPr>
                <m:t>)</m:t>
              </m:r>
              <m:r>
                <m:rPr>
                  <m:sty m:val="p"/>
                </m:rPr>
                <m:t>+</m:t>
              </m:r>
              <m:sSub>
                <m:e>
                  <m:r>
                    <m:t>β</m:t>
                  </m:r>
                </m:e>
                <m:sub>
                  <m:r>
                    <m:t>W</m:t>
                  </m:r>
                </m:sub>
              </m:sSub>
              <m:r>
                <m:rPr>
                  <m:sty m:val="p"/>
                </m:rPr>
                <m:t>(</m:t>
              </m:r>
              <m:sSub>
                <m:e>
                  <m:r>
                    <m:t>W</m:t>
                  </m:r>
                </m:e>
                <m:sub>
                  <m:r>
                    <m:t>d</m:t>
                  </m:r>
                </m:sub>
              </m:sSub>
              <m:r>
                <m:rPr>
                  <m:sty m:val="p"/>
                </m:rPr>
                <m:t>−</m:t>
              </m:r>
              <m:acc>
                <m:accPr>
                  <m:chr m:val="‾"/>
                </m:accPr>
                <m:e>
                  <m:r>
                    <m:t>W</m:t>
                  </m:r>
                </m:e>
              </m:acc>
              <m:r>
                <m:rPr>
                  <m:sty m:val="p"/>
                </m:rPr>
                <m:t>)</m:t>
              </m:r>
            </m:e>
          </m:d>
          <m:r>
            <m:rPr>
              <m:sty m:val="p"/>
            </m:rPr>
            <m:t>+</m:t>
          </m:r>
          <m:sSub>
            <m:e>
              <m:r>
                <m:t>ε</m:t>
              </m:r>
            </m:e>
            <m:sub>
              <m:r>
                <m:t>d</m:t>
              </m:r>
            </m:sub>
          </m:sSub>
          <m:r>
            <m:rPr>
              <m:sty m:val="p"/>
            </m:rPr>
            <m:t>,</m:t>
          </m:r>
          <m:r>
            <m:t> </m:t>
          </m:r>
          <m:sSub>
            <m:e>
              <m:r>
                <m:t>β</m:t>
              </m:r>
            </m:e>
            <m:sub>
              <m:r>
                <m:t>0</m:t>
              </m:r>
            </m:sub>
          </m:sSub>
          <m:r>
            <m:rPr>
              <m:sty m:val="p"/>
            </m:rPr>
            <m:t>≥</m:t>
          </m:r>
          <m:r>
            <m:t>0</m:t>
          </m:r>
          <m:r>
            <m:rPr>
              <m:sty m:val="p"/>
            </m:rPr>
            <m:t>,</m:t>
          </m:r>
          <m:r>
            <m:t> </m:t>
          </m:r>
          <m:sSub>
            <m:e>
              <m:r>
                <m:t>β</m:t>
              </m:r>
            </m:e>
            <m:sub>
              <m:r>
                <m:t>T</m:t>
              </m:r>
            </m:sub>
          </m:sSub>
          <m:r>
            <m:rPr>
              <m:sty m:val="p"/>
            </m:rPr>
            <m:t>≤</m:t>
          </m:r>
          <m:r>
            <m:t>0</m:t>
          </m:r>
          <m:r>
            <m:rPr>
              <m:sty m:val="p"/>
            </m:rPr>
            <m:t>,</m:t>
          </m:r>
          <m:r>
            <m:t> </m:t>
          </m:r>
          <m:sSub>
            <m:e>
              <m:r>
                <m:t>β</m:t>
              </m:r>
            </m:e>
            <m:sub>
              <m:r>
                <m:t>W</m:t>
              </m:r>
            </m:sub>
          </m:sSub>
          <m:r>
            <m:rPr>
              <m:sty m:val="p"/>
            </m:rPr>
            <m:t>≥</m:t>
          </m:r>
          <m:r>
            <m:t>0</m:t>
          </m:r>
          <m:r>
            <m:rPr>
              <m:sty m:val="p"/>
            </m:rPr>
            <m:t>.</m:t>
          </m:r>
        </m:oMath>
      </m:oMathPara>
    </w:p>
    <w:p>
      <w:pPr>
        <w:pStyle w:val="FirstParagraph"/>
      </w:pPr>
      <w:r>
        <w:rPr>
          <w:rFonts w:hint="eastAsia"/>
        </w:rPr>
        <w:t xml:space="preserve">式（7）的符号约束体现有限的物理先验，但不保证温度、风速效应能由15个日样本稳定识别。若扩展模型的系数频繁落在约束边界、接近零或对删除某一天敏感，则其表面拟合改善不能作为采用该模型的理由。</w:t>
      </w:r>
    </w:p>
    <w:bookmarkEnd w:id="23"/>
    <w:bookmarkStart w:id="27" w:name="候选比较与模型选择"/>
    <w:p>
      <w:pPr>
        <w:pStyle w:val="Heading3"/>
      </w:pPr>
      <w:r>
        <w:t xml:space="preserve">4.2 </w:t>
      </w:r>
      <w:r>
        <w:rPr>
          <w:rFonts w:hint="eastAsia"/>
        </w:rPr>
        <w:t xml:space="preserve">候选比较与模型选择</w:t>
      </w:r>
    </w:p>
    <w:p>
      <w:pPr>
        <w:pStyle w:val="FirstParagraph"/>
      </w:pPr>
      <w:r>
        <w:rPr>
          <w:rFonts w:hint="eastAsia"/>
        </w:rPr>
        <w:t xml:space="preserve">以日为留出单位对所有候选模型进行15折逐日留一验证，主指标为留一平均绝对误差（MAE），RMSE、最大绝对误差和</w:t>
      </w:r>
      <m:oMath>
        <m:sSup>
          <m:e>
            <m:r>
              <m:t>R</m:t>
            </m:r>
          </m:e>
          <m:sup>
            <m:r>
              <m:t>2</m:t>
            </m:r>
          </m:sup>
        </m:sSup>
      </m:oMath>
      <w:r>
        <w:rPr>
          <w:rFonts w:hint="eastAsia"/>
        </w:rPr>
        <w:t xml:space="preserve">作为辅助指标。先排除设计矩阵不满秩、预测为负、物理符号不合理或参数不稳定的候选，再在合格模型中使用一标准误差规则：MAE位于最小值加一个标准误以内的模型进入简约集合，并选取其中参数最少者。</w:t>
      </w:r>
    </w:p>
    <w:p>
      <w:pPr>
        <w:pStyle w:val="BodyText"/>
      </w:pPr>
      <w:r>
        <w:rPr>
          <w:rFonts w:hint="eastAsia"/>
        </w:rPr>
        <w:t xml:space="preserve">这里加入温度和风速并不等于获得了更多独立信息：15日样本中，温度、风速随天气过程与辐照度共同变化，M2需要估计的是“辐照度相同条件下”的温度和风速边际修正，但数据中用于区分这些效应的独立对照很少。相比之下，辐照度直接决定可利用的太阳能输入，固定的装机规模、方位角和倾角可由一个站级比例系数概括。因此，只有当M2在留出日上稳定降低误差、且修正系数在删去任一日后仍保持物理方向和量级时，额外变量才具有可用的信息增益；否则它们更可能是在分配15日样本中的偶然残差。</w:t>
      </w:r>
    </w:p>
    <w:p>
      <w:pPr>
        <w:pStyle w:val="BodyText"/>
      </w:pPr>
      <w:r>
        <w:rPr>
          <w:rFonts w:hint="eastAsia"/>
          <w:b/>
          <w:bCs/>
        </w:rPr>
        <w:t xml:space="preserve">表4</w:t>
      </w:r>
      <w:r>
        <w:rPr>
          <w:b/>
          <w:bCs/>
        </w:rPr>
        <w:t xml:space="preserve"> </w:t>
      </w:r>
      <w:r>
        <w:rPr>
          <w:rFonts w:hint="eastAsia"/>
          <w:b/>
          <w:bCs/>
        </w:rPr>
        <w:t xml:space="preserve">候选模型的逐日留一比较</w:t>
      </w:r>
    </w:p>
    <w:tbl>
      <w:tblPr>
        <w:tblStyle w:val="Table"/>
        <w:tblW w:type="pct" w:w="5000"/>
        <w:tblLayout w:type="fixed"/>
        <w:tblLook w:firstRow="1" w:lastRow="0" w:firstColumn="0" w:lastColumn="0" w:noHBand="0" w:noVBand="0" w:val="0020"/>
      </w:tblPr>
      <w:tblGrid>
        <w:gridCol w:w="1015"/>
        <w:gridCol w:w="812"/>
        <w:gridCol w:w="812"/>
        <w:gridCol w:w="812"/>
        <w:gridCol w:w="812"/>
        <w:gridCol w:w="812"/>
        <w:gridCol w:w="812"/>
        <w:gridCol w:w="1015"/>
        <w:gridCol w:w="1015"/>
      </w:tblGrid>
      <w:tr>
        <w:trPr>
          <w:tblHeader w:val="on"/>
        </w:trPr>
        <w:tc>
          <w:tcPr/>
          <w:p>
            <w:pPr>
              <w:pStyle w:val="Compact"/>
              <w:jc w:val="center"/>
            </w:pPr>
            <w:r>
              <w:rPr>
                <w:rFonts w:hint="eastAsia"/>
              </w:rPr>
              <w:t xml:space="preserve">模型</w:t>
            </w:r>
          </w:p>
        </w:tc>
        <w:tc>
          <w:tcPr/>
          <w:p>
            <w:pPr>
              <w:pStyle w:val="Compact"/>
              <w:jc w:val="left"/>
            </w:pPr>
            <w:r>
              <w:rPr>
                <w:rFonts w:hint="eastAsia"/>
              </w:rPr>
              <w:t xml:space="preserve">合格性</w:t>
            </w:r>
          </w:p>
        </w:tc>
        <w:tc>
          <w:tcPr/>
          <w:p>
            <w:pPr>
              <w:pStyle w:val="Compact"/>
              <w:jc w:val="right"/>
            </w:pPr>
            <w:r>
              <w:rPr>
                <w:rFonts w:hint="eastAsia"/>
              </w:rPr>
              <w:t xml:space="preserve">留一MAE/kWh</w:t>
            </w:r>
          </w:p>
        </w:tc>
        <w:tc>
          <w:tcPr/>
          <w:p>
            <w:pPr>
              <w:pStyle w:val="Compact"/>
              <w:jc w:val="right"/>
            </w:pPr>
            <w:r>
              <w:rPr>
                <w:rFonts w:hint="eastAsia"/>
              </w:rPr>
              <w:t xml:space="preserve">留一RMSE/kWh</w:t>
            </w:r>
          </w:p>
        </w:tc>
        <w:tc>
          <w:tcPr/>
          <w:p>
            <w:pPr>
              <w:pStyle w:val="Compact"/>
              <w:jc w:val="right"/>
            </w:pPr>
            <w:r>
              <w:rPr>
                <w:rFonts w:hint="eastAsia"/>
              </w:rPr>
              <w:t xml:space="preserve">最大绝对误差/kWh</w:t>
            </w:r>
          </w:p>
        </w:tc>
        <w:tc>
          <w:tcPr/>
          <w:p>
            <w:pPr>
              <w:pStyle w:val="Compact"/>
              <w:jc w:val="right"/>
            </w:pPr>
            <w:r>
              <w:rPr>
                <w:rFonts w:hint="eastAsia"/>
              </w:rPr>
              <w:t xml:space="preserve">留一</w:t>
            </w:r>
            <m:oMath>
              <m:sSup>
                <m:e>
                  <m:r>
                    <m:t>R</m:t>
                  </m:r>
                </m:e>
                <m:sup>
                  <m:r>
                    <m:t>2</m:t>
                  </m:r>
                </m:sup>
              </m:sSup>
            </m:oMath>
          </w:p>
        </w:tc>
        <w:tc>
          <w:tcPr/>
          <w:p>
            <w:pPr>
              <w:pStyle w:val="Compact"/>
              <w:jc w:val="right"/>
            </w:pPr>
            <w:r>
              <w:rPr>
                <w:rFonts w:hint="eastAsia"/>
              </w:rPr>
              <w:t xml:space="preserve">全样本</w:t>
            </w:r>
            <m:oMath>
              <m:sSup>
                <m:e>
                  <m:r>
                    <m:t>R</m:t>
                  </m:r>
                </m:e>
                <m:sup>
                  <m:r>
                    <m:t>2</m:t>
                  </m:r>
                </m:sup>
              </m:sSup>
            </m:oMath>
          </w:p>
        </w:tc>
        <w:tc>
          <w:tcPr/>
          <w:p>
            <w:pPr>
              <w:pStyle w:val="Compact"/>
              <w:jc w:val="center"/>
            </w:pPr>
            <w:r>
              <w:rPr>
                <w:rFonts w:hint="eastAsia"/>
              </w:rPr>
              <w:t xml:space="preserve">一标准误集合</w:t>
            </w:r>
          </w:p>
        </w:tc>
        <w:tc>
          <w:tcPr/>
          <w:p>
            <w:pPr>
              <w:pStyle w:val="Compact"/>
              <w:jc w:val="center"/>
            </w:pPr>
            <w:r>
              <w:rPr>
                <w:rFonts w:hint="eastAsia"/>
              </w:rPr>
              <w:t xml:space="preserve">选择结果</w:t>
            </w:r>
          </w:p>
        </w:tc>
      </w:tr>
      <w:tr>
        <w:tc>
          <w:tcPr/>
          <w:p>
            <w:pPr>
              <w:pStyle w:val="Compact"/>
              <w:jc w:val="center"/>
            </w:pPr>
            <w:r>
              <w:t xml:space="preserve">M0</w:t>
            </w:r>
          </w:p>
        </w:tc>
        <w:tc>
          <w:tcPr/>
          <w:p>
            <w:pPr>
              <w:pStyle w:val="Compact"/>
              <w:jc w:val="left"/>
            </w:pPr>
            <w:r>
              <w:rPr>
                <w:rFonts w:hint="eastAsia"/>
              </w:rPr>
              <w:t xml:space="preserve">是</w:t>
            </w:r>
          </w:p>
        </w:tc>
        <w:tc>
          <w:tcPr/>
          <w:p>
            <w:pPr>
              <w:pStyle w:val="Compact"/>
              <w:jc w:val="right"/>
            </w:pPr>
            <w:r>
              <w:t xml:space="preserve">0.181</w:t>
            </w:r>
          </w:p>
        </w:tc>
        <w:tc>
          <w:tcPr/>
          <w:p>
            <w:pPr>
              <w:pStyle w:val="Compact"/>
              <w:jc w:val="right"/>
            </w:pPr>
            <w:r>
              <w:t xml:space="preserve">0.238</w:t>
            </w:r>
          </w:p>
        </w:tc>
        <w:tc>
          <w:tcPr/>
          <w:p>
            <w:pPr>
              <w:pStyle w:val="Compact"/>
              <w:jc w:val="right"/>
            </w:pPr>
            <w:r>
              <w:t xml:space="preserve">0.571</w:t>
            </w:r>
          </w:p>
        </w:tc>
        <w:tc>
          <w:tcPr/>
          <w:p>
            <w:pPr>
              <w:pStyle w:val="Compact"/>
              <w:jc w:val="right"/>
            </w:pPr>
            <w:r>
              <w:t xml:space="preserve">0.999991</w:t>
            </w:r>
          </w:p>
        </w:tc>
        <w:tc>
          <w:tcPr/>
          <w:p>
            <w:pPr>
              <w:pStyle w:val="Compact"/>
              <w:jc w:val="right"/>
            </w:pPr>
            <w:r>
              <w:t xml:space="preserve">0.999992</w:t>
            </w:r>
          </w:p>
        </w:tc>
        <w:tc>
          <w:tcPr/>
          <w:p>
            <w:pPr>
              <w:pStyle w:val="Compact"/>
              <w:jc w:val="center"/>
            </w:pPr>
            <w:r>
              <w:rPr>
                <w:rFonts w:hint="eastAsia"/>
              </w:rPr>
              <w:t xml:space="preserve">是</w:t>
            </w:r>
          </w:p>
        </w:tc>
        <w:tc>
          <w:tcPr/>
          <w:p>
            <w:pPr>
              <w:pStyle w:val="Compact"/>
              <w:jc w:val="center"/>
            </w:pPr>
            <w:r>
              <w:rPr>
                <w:rFonts w:hint="eastAsia"/>
              </w:rPr>
              <w:t xml:space="preserve">选中</w:t>
            </w:r>
          </w:p>
        </w:tc>
      </w:tr>
      <w:tr>
        <w:tc>
          <w:tcPr/>
          <w:p>
            <w:pPr>
              <w:pStyle w:val="Compact"/>
              <w:jc w:val="center"/>
            </w:pPr>
            <w:r>
              <w:t xml:space="preserve">M1</w:t>
            </w:r>
          </w:p>
        </w:tc>
        <w:tc>
          <w:tcPr/>
          <w:p>
            <w:pPr>
              <w:pStyle w:val="Compact"/>
              <w:jc w:val="left"/>
            </w:pPr>
            <w:r>
              <w:rPr>
                <w:rFonts w:hint="eastAsia"/>
              </w:rPr>
              <w:t xml:space="preserve">是</w:t>
            </w:r>
          </w:p>
        </w:tc>
        <w:tc>
          <w:tcPr/>
          <w:p>
            <w:pPr>
              <w:pStyle w:val="Compact"/>
              <w:jc w:val="right"/>
            </w:pPr>
            <w:r>
              <w:t xml:space="preserve">0.188</w:t>
            </w:r>
          </w:p>
        </w:tc>
        <w:tc>
          <w:tcPr/>
          <w:p>
            <w:pPr>
              <w:pStyle w:val="Compact"/>
              <w:jc w:val="right"/>
            </w:pPr>
            <w:r>
              <w:t xml:space="preserve">0.240</w:t>
            </w:r>
          </w:p>
        </w:tc>
        <w:tc>
          <w:tcPr/>
          <w:p>
            <w:pPr>
              <w:pStyle w:val="Compact"/>
              <w:jc w:val="right"/>
            </w:pPr>
            <w:r>
              <w:t xml:space="preserve">0.564</w:t>
            </w:r>
          </w:p>
        </w:tc>
        <w:tc>
          <w:tcPr/>
          <w:p>
            <w:pPr>
              <w:pStyle w:val="Compact"/>
              <w:jc w:val="right"/>
            </w:pPr>
            <w:r>
              <w:t xml:space="preserve">0.999990</w:t>
            </w:r>
          </w:p>
        </w:tc>
        <w:tc>
          <w:tcPr/>
          <w:p>
            <w:pPr>
              <w:pStyle w:val="Compact"/>
              <w:jc w:val="right"/>
            </w:pPr>
            <w:r>
              <w:t xml:space="preserve">0.999992</w:t>
            </w:r>
          </w:p>
        </w:tc>
        <w:tc>
          <w:tcPr/>
          <w:p>
            <w:pPr>
              <w:pStyle w:val="Compact"/>
              <w:jc w:val="center"/>
            </w:pPr>
            <w:r>
              <w:rPr>
                <w:rFonts w:hint="eastAsia"/>
              </w:rPr>
              <w:t xml:space="preserve">是</w:t>
            </w:r>
          </w:p>
        </w:tc>
        <w:tc>
          <w:tcPr/>
          <w:p>
            <w:pPr>
              <w:pStyle w:val="Compact"/>
              <w:jc w:val="center"/>
            </w:pPr>
            <w:r>
              <w:rPr>
                <w:rFonts w:hint="eastAsia"/>
              </w:rPr>
              <w:t xml:space="preserve">否</w:t>
            </w:r>
          </w:p>
        </w:tc>
      </w:tr>
      <w:tr>
        <w:tc>
          <w:tcPr/>
          <w:p>
            <w:pPr>
              <w:pStyle w:val="Compact"/>
              <w:jc w:val="center"/>
            </w:pPr>
            <w:r>
              <w:t xml:space="preserve">M2</w:t>
            </w:r>
          </w:p>
        </w:tc>
        <w:tc>
          <w:tcPr/>
          <w:p>
            <w:pPr>
              <w:pStyle w:val="Compact"/>
              <w:jc w:val="left"/>
            </w:pPr>
            <w:r>
              <w:rPr>
                <w:rFonts w:hint="eastAsia"/>
              </w:rPr>
              <w:t xml:space="preserve">否</w:t>
            </w:r>
          </w:p>
        </w:tc>
        <w:tc>
          <w:tcPr/>
          <w:p>
            <w:pPr>
              <w:pStyle w:val="Compact"/>
              <w:jc w:val="right"/>
            </w:pPr>
            <w:r>
              <w:t xml:space="preserve">0.187</w:t>
            </w:r>
          </w:p>
        </w:tc>
        <w:tc>
          <w:tcPr/>
          <w:p>
            <w:pPr>
              <w:pStyle w:val="Compact"/>
              <w:jc w:val="right"/>
            </w:pPr>
            <w:r>
              <w:t xml:space="preserve">0.244</w:t>
            </w:r>
          </w:p>
        </w:tc>
        <w:tc>
          <w:tcPr/>
          <w:p>
            <w:pPr>
              <w:pStyle w:val="Compact"/>
              <w:jc w:val="right"/>
            </w:pPr>
            <w:r>
              <w:t xml:space="preserve">0.593</w:t>
            </w:r>
          </w:p>
        </w:tc>
        <w:tc>
          <w:tcPr/>
          <w:p>
            <w:pPr>
              <w:pStyle w:val="Compact"/>
              <w:jc w:val="right"/>
            </w:pPr>
            <w:r>
              <w:t xml:space="preserve">0.999990</w:t>
            </w:r>
          </w:p>
        </w:tc>
        <w:tc>
          <w:tcPr/>
          <w:p>
            <w:pPr>
              <w:pStyle w:val="Compact"/>
              <w:jc w:val="right"/>
            </w:pPr>
            <w:r>
              <w:t xml:space="preserve">0.999992</w:t>
            </w:r>
          </w:p>
        </w:tc>
        <w:tc>
          <w:tcPr/>
          <w:p>
            <w:pPr>
              <w:pStyle w:val="Compact"/>
              <w:jc w:val="center"/>
            </w:pPr>
            <w:r>
              <w:rPr>
                <w:rFonts w:hint="eastAsia"/>
              </w:rPr>
              <w:t xml:space="preserve">否</w:t>
            </w:r>
          </w:p>
        </w:tc>
        <w:tc>
          <w:tcPr/>
          <w:p>
            <w:pPr>
              <w:pStyle w:val="Compact"/>
              <w:jc w:val="center"/>
            </w:pPr>
            <w:r>
              <w:rPr>
                <w:rFonts w:hint="eastAsia"/>
              </w:rPr>
              <w:t xml:space="preserve">否</w:t>
            </w:r>
          </w:p>
        </w:tc>
      </w:tr>
    </w:tbl>
    <w:p>
      <w:pPr>
        <w:pStyle w:val="BodyText"/>
      </w:pPr>
      <w:r>
        <w:rPr>
          <w:rFonts w:hint="eastAsia"/>
        </w:rPr>
        <w:t xml:space="preserve">如表4所示，M0的留一MAE最小，为0.181</w:t>
      </w:r>
      <w:r>
        <w:t xml:space="preserve"> </w:t>
      </w:r>
      <w:r>
        <w:rPr>
          <w:rFonts w:hint="eastAsia"/>
        </w:rPr>
        <w:t xml:space="preserve">kWh；以最小MAE加一个标准误得到的阈值为0.222</w:t>
      </w:r>
      <w:r>
        <w:t xml:space="preserve"> </w:t>
      </w:r>
      <w:r>
        <w:rPr>
          <w:rFonts w:hint="eastAsia"/>
        </w:rPr>
        <w:t xml:space="preserve">kWh，M1的误差略大但仍落入一标准误集合，因此不需要用截距换取难以区分的微小改善。M2虽然在数值上比M1的MAE略低，但温度项全样本估计接近零、在留一拟合中多次落到零边界，风速项在删去单日后变化超过100%，故不具备稳定的参数解释和预测资格。由此选择M0。这个选择来自误差、资格和简约性共同作用，而不是预先指定M0获胜。</w:t>
      </w:r>
    </w:p>
    <w:p>
      <w:pPr>
        <w:pStyle w:val="BodyText"/>
      </w:pPr>
      <w:r>
        <w:rPr>
          <w:rFonts w:hint="eastAsia"/>
        </w:rPr>
        <w:t xml:space="preserve">候选模型的留一结果如图2所示：左图展示M0在15个历史日上的逐日留一预测与实际总量；低辐照日和高辐照日均沿同一比例关系变化，最大留一绝对误差为0.571</w:t>
      </w:r>
      <w:r>
        <w:t xml:space="preserve"> </w:t>
      </w:r>
      <w:r>
        <w:rPr>
          <w:rFonts w:hint="eastAsia"/>
        </w:rPr>
        <w:t xml:space="preserve">kWh。右图单独放大第16日区间，以避免窄区间在全量程图中难以辨认。</w:t>
      </w:r>
    </w:p>
    <w:p>
      <w:pPr>
        <w:pStyle w:val="BodyText"/>
      </w:pPr>
      <w:r>
        <w:drawing>
          <wp:inline>
            <wp:extent cx="5013960" cy="3348068"/>
            <wp:effectExtent b="0" l="0" r="0" t="0"/>
            <wp:docPr descr="" title="" id="25" name="Picture"/>
            <a:graphic>
              <a:graphicData uri="http://schemas.openxmlformats.org/drawingml/2006/picture">
                <pic:pic>
                  <pic:nvPicPr>
                    <pic:cNvPr descr="figures/evidence_task2_forecast_validation.png" id="26" name="Picture"/>
                    <pic:cNvPicPr>
                      <a:picLocks noChangeArrowheads="1" noChangeAspect="1"/>
                    </pic:cNvPicPr>
                  </pic:nvPicPr>
                  <pic:blipFill>
                    <a:blip r:embed="rId24"/>
                    <a:stretch>
                      <a:fillRect/>
                    </a:stretch>
                  </pic:blipFill>
                  <pic:spPr bwMode="auto">
                    <a:xfrm>
                      <a:off x="0" y="0"/>
                      <a:ext cx="5013960" cy="3348068"/>
                    </a:xfrm>
                    <a:prstGeom prst="rect">
                      <a:avLst/>
                    </a:prstGeom>
                    <a:noFill/>
                    <a:ln w="9525">
                      <a:noFill/>
                      <a:headEnd/>
                      <a:tailEnd/>
                    </a:ln>
                  </pic:spPr>
                </pic:pic>
              </a:graphicData>
            </a:graphic>
          </wp:inline>
        </w:drawing>
      </w:r>
    </w:p>
    <w:p>
      <w:pPr>
        <w:pStyle w:val="BodyText"/>
      </w:pPr>
      <w:r>
        <w:rPr>
          <w:rFonts w:hint="eastAsia"/>
          <w:i/>
          <w:iCs/>
        </w:rPr>
        <w:t xml:space="preserve">图2</w:t>
      </w:r>
      <w:r>
        <w:rPr>
          <w:i/>
          <w:iCs/>
        </w:rPr>
        <w:t xml:space="preserve"> </w:t>
      </w:r>
      <w:r>
        <w:rPr>
          <w:rFonts w:hint="eastAsia"/>
          <w:i/>
          <w:iCs/>
        </w:rPr>
        <w:t xml:space="preserve">左：M0的15日逐日留一预测；右：第16日点预测、95%期望值置信区间和95%单日预测区间。区间以已观测历史条件和给定第16日气象预报为条件。</w:t>
      </w:r>
    </w:p>
    <w:bookmarkEnd w:id="27"/>
    <w:bookmarkStart w:id="28" w:name="第16日点预测与区间"/>
    <w:p>
      <w:pPr>
        <w:pStyle w:val="Heading3"/>
      </w:pPr>
      <w:r>
        <w:t xml:space="preserve">4.3 </w:t>
      </w:r>
      <w:r>
        <w:rPr>
          <w:rFonts w:hint="eastAsia"/>
        </w:rPr>
        <w:t xml:space="preserve">第16日点预测与区间</w:t>
      </w:r>
    </w:p>
    <w:p>
      <w:pPr>
        <w:pStyle w:val="FirstParagraph"/>
      </w:pPr>
      <w:r>
        <w:rPr>
          <w:rFonts w:hint="eastAsia"/>
        </w:rPr>
        <w:t xml:space="preserve">M0选定后，在全部15个历史日上重新拟合原尺度的站级响应，得到</w:t>
      </w:r>
    </w:p>
    <w:p>
      <w:pPr>
        <w:pStyle w:val="BodyText"/>
      </w:pPr>
      <m:oMathPara>
        <m:oMathParaPr>
          <m:jc m:val="center"/>
        </m:oMathParaPr>
        <m:oMath>
          <m:sSub>
            <m:e>
              <m:acc>
                <m:accPr>
                  <m:chr m:val="̂"/>
                </m:accPr>
                <m:e>
                  <m:r>
                    <m:t>β</m:t>
                  </m:r>
                </m:e>
              </m:acc>
            </m:e>
            <m:sub>
              <m:r>
                <m:t>H</m:t>
              </m:r>
            </m:sub>
          </m:sSub>
          <m:r>
            <m:rPr>
              <m:sty m:val="p"/>
            </m:rPr>
            <m:t>=</m:t>
          </m:r>
          <m:r>
            <m:t>51.249391</m:t>
          </m:r>
          <m:r>
            <m:rPr>
              <m:sty m:val="p"/>
            </m:rPr>
            <m:t>.</m:t>
          </m:r>
        </m:oMath>
      </m:oMathPara>
    </w:p>
    <w:p>
      <w:pPr>
        <w:pStyle w:val="FirstParagraph"/>
      </w:pPr>
      <w:r>
        <w:rPr>
          <w:rFonts w:hint="eastAsia"/>
        </w:rPr>
        <w:t xml:space="preserve">第16日预报辐照度为</w:t>
      </w:r>
      <m:oMath>
        <m:sSub>
          <m:e>
            <m:r>
              <m:t>H</m:t>
            </m:r>
          </m:e>
          <m:sub>
            <m:r>
              <m:t>16</m:t>
            </m:r>
          </m:sub>
        </m:sSub>
        <m:r>
          <m:rPr>
            <m:sty m:val="p"/>
          </m:rPr>
          <m:t>=</m:t>
        </m:r>
        <m:r>
          <m:t>5.0</m:t>
        </m:r>
      </m:oMath>
      <w:r>
        <w:t xml:space="preserve"> </w:t>
      </w:r>
      <w:r>
        <w:rPr>
          <w:rFonts w:hint="eastAsia"/>
        </w:rPr>
        <w:t xml:space="preserve">kWh/m²，因此正式点预测由同一个全15日原尺度拟合直接给出</w:t>
      </w:r>
    </w:p>
    <w:p>
      <w:pPr>
        <w:pStyle w:val="BodyText"/>
      </w:pPr>
      <m:oMathPara>
        <m:oMathParaPr>
          <m:jc m:val="center"/>
        </m:oMathParaPr>
        <m:oMath>
          <m:sSub>
            <m:e>
              <m:acc>
                <m:accPr>
                  <m:chr m:val="̂"/>
                </m:accPr>
                <m:e>
                  <m:r>
                    <m:t>Y</m:t>
                  </m:r>
                </m:e>
              </m:acc>
            </m:e>
            <m:sub>
              <m:r>
                <m:t>16</m:t>
              </m:r>
            </m:sub>
          </m:sSub>
          <m:r>
            <m:rPr>
              <m:sty m:val="p"/>
            </m:rPr>
            <m:t>=</m:t>
          </m:r>
          <m:sSub>
            <m:e>
              <m:acc>
                <m:accPr>
                  <m:chr m:val="̂"/>
                </m:accPr>
                <m:e>
                  <m:r>
                    <m:t>β</m:t>
                  </m:r>
                </m:e>
              </m:acc>
            </m:e>
            <m:sub>
              <m:r>
                <m:t>H</m:t>
              </m:r>
            </m:sub>
          </m:sSub>
          <m:sSub>
            <m:e>
              <m:r>
                <m:t>H</m:t>
              </m:r>
            </m:e>
            <m:sub>
              <m:r>
                <m:t>16</m:t>
              </m:r>
            </m:sub>
          </m:sSub>
          <m:r>
            <m:rPr>
              <m:sty m:val="p"/>
            </m:rPr>
            <m:t>=</m:t>
          </m:r>
          <m:r>
            <m:t>51.249391</m:t>
          </m:r>
          <m:r>
            <m:rPr>
              <m:sty m:val="p"/>
            </m:rPr>
            <m:t>×</m:t>
          </m:r>
          <m:r>
            <m:t>5.0</m:t>
          </m:r>
          <m:r>
            <m:rPr>
              <m:sty m:val="p"/>
            </m:rPr>
            <m:t>≈</m:t>
          </m:r>
          <m:r>
            <m:t>256.247</m:t>
          </m:r>
          <m:r>
            <m:rPr>
              <m:sty m:val="p"/>
            </m:rPr>
            <m:t>.</m:t>
          </m:r>
        </m:oMath>
      </m:oMathPara>
    </w:p>
    <w:p>
      <w:pPr>
        <w:pStyle w:val="FirstParagraph"/>
      </w:pPr>
      <w:r>
        <w:rPr>
          <w:rFonts w:hint="eastAsia"/>
        </w:rPr>
        <w:t xml:space="preserve">式（9）的单位为kWh，点预测保持在</w:t>
      </w:r>
      <m:oMath>
        <m:r>
          <m:t>Y</m:t>
        </m:r>
      </m:oMath>
      <w:r>
        <w:rPr>
          <w:rFonts w:hint="eastAsia"/>
        </w:rPr>
        <w:t xml:space="preserve">尺度上。区间计算采用HC3稳健参数协方差[2]，并按辐照度缩放条件残差方差以反映日级波动。该处理只改变不确定性范围，不重新定义或替换式（5）的点预测模型。结果见表5。</w:t>
      </w:r>
    </w:p>
    <w:p>
      <w:pPr>
        <w:pStyle w:val="BodyText"/>
      </w:pPr>
      <w:r>
        <w:rPr>
          <w:rFonts w:hint="eastAsia"/>
          <w:b/>
          <w:bCs/>
        </w:rPr>
        <w:t xml:space="preserve">表5</w:t>
      </w:r>
      <w:r>
        <w:rPr>
          <w:b/>
          <w:bCs/>
        </w:rPr>
        <w:t xml:space="preserve"> </w:t>
      </w:r>
      <w:r>
        <w:rPr>
          <w:rFonts w:hint="eastAsia"/>
          <w:b/>
          <w:bCs/>
        </w:rPr>
        <w:t xml:space="preserve">第16日全站发电量预测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输出</w:t>
            </w:r>
          </w:p>
        </w:tc>
        <w:tc>
          <w:tcPr/>
          <w:p>
            <w:pPr>
              <w:pStyle w:val="Compact"/>
              <w:jc w:val="right"/>
            </w:pPr>
            <w:r>
              <w:rPr>
                <w:rFonts w:hint="eastAsia"/>
              </w:rPr>
              <w:t xml:space="preserve">点预测/kWh</w:t>
            </w:r>
          </w:p>
        </w:tc>
        <w:tc>
          <w:tcPr/>
          <w:p>
            <w:pPr>
              <w:pStyle w:val="Compact"/>
              <w:jc w:val="right"/>
            </w:pPr>
            <w:r>
              <w:rPr>
                <w:rFonts w:hint="eastAsia"/>
              </w:rPr>
              <w:t xml:space="preserve">下界/kWh</w:t>
            </w:r>
          </w:p>
        </w:tc>
        <w:tc>
          <w:tcPr/>
          <w:p>
            <w:pPr>
              <w:pStyle w:val="Compact"/>
              <w:jc w:val="right"/>
            </w:pPr>
            <w:r>
              <w:rPr>
                <w:rFonts w:hint="eastAsia"/>
              </w:rPr>
              <w:t xml:space="preserve">上界/kWh</w:t>
            </w:r>
          </w:p>
        </w:tc>
        <w:tc>
          <w:tcPr/>
          <w:p>
            <w:pPr>
              <w:pStyle w:val="Compact"/>
              <w:jc w:val="left"/>
            </w:pPr>
            <w:r>
              <w:rPr>
                <w:rFonts w:hint="eastAsia"/>
              </w:rPr>
              <w:t xml:space="preserve">解释范围</w:t>
            </w:r>
          </w:p>
        </w:tc>
      </w:tr>
      <w:tr>
        <w:tc>
          <w:tcPr/>
          <w:p>
            <w:pPr>
              <w:pStyle w:val="Compact"/>
              <w:jc w:val="left"/>
            </w:pPr>
            <w:r>
              <w:rPr>
                <w:rFonts w:hint="eastAsia"/>
              </w:rPr>
              <w:t xml:space="preserve">点预测</w:t>
            </w:r>
          </w:p>
        </w:tc>
        <w:tc>
          <w:tcPr/>
          <w:p>
            <w:pPr>
              <w:pStyle w:val="Compact"/>
              <w:jc w:val="right"/>
            </w:pPr>
            <w:r>
              <w:t xml:space="preserve">256.247</w:t>
            </w:r>
          </w:p>
        </w:tc>
        <w:tc>
          <w:tcPr/>
          <w:p>
            <w:pPr>
              <w:pStyle w:val="Compact"/>
              <w:jc w:val="right"/>
            </w:pPr>
            <w:r>
              <w:t xml:space="preserve">—</w:t>
            </w:r>
          </w:p>
        </w:tc>
        <w:tc>
          <w:tcPr/>
          <w:p>
            <w:pPr>
              <w:pStyle w:val="Compact"/>
              <w:jc w:val="right"/>
            </w:pPr>
            <w:r>
              <w:t xml:space="preserve">—</w:t>
            </w:r>
          </w:p>
        </w:tc>
        <w:tc>
          <w:tcPr/>
          <w:p>
            <w:pPr>
              <w:pStyle w:val="Compact"/>
              <w:jc w:val="left"/>
            </w:pPr>
            <w:r>
              <w:rPr>
                <w:rFonts w:hint="eastAsia"/>
              </w:rPr>
              <w:t xml:space="preserve">M0全15日原尺度最终拟合</w:t>
            </w:r>
          </w:p>
        </w:tc>
      </w:tr>
      <w:tr>
        <w:tc>
          <w:tcPr/>
          <w:p>
            <w:pPr>
              <w:pStyle w:val="Compact"/>
              <w:jc w:val="left"/>
            </w:pPr>
            <w:r>
              <w:rPr>
                <w:rFonts w:hint="eastAsia"/>
              </w:rPr>
              <w:t xml:space="preserve">95%期望值置信区间</w:t>
            </w:r>
          </w:p>
        </w:tc>
        <w:tc>
          <w:tcPr/>
          <w:p>
            <w:pPr>
              <w:pStyle w:val="Compact"/>
              <w:jc w:val="right"/>
            </w:pPr>
            <w:r>
              <w:t xml:space="preserve">—</w:t>
            </w:r>
          </w:p>
        </w:tc>
        <w:tc>
          <w:tcPr/>
          <w:p>
            <w:pPr>
              <w:pStyle w:val="Compact"/>
              <w:jc w:val="right"/>
            </w:pPr>
            <w:r>
              <w:t xml:space="preserve">256.058</w:t>
            </w:r>
          </w:p>
        </w:tc>
        <w:tc>
          <w:tcPr/>
          <w:p>
            <w:pPr>
              <w:pStyle w:val="Compact"/>
              <w:jc w:val="right"/>
            </w:pPr>
            <w:r>
              <w:t xml:space="preserve">256.436</w:t>
            </w:r>
          </w:p>
        </w:tc>
        <w:tc>
          <w:tcPr/>
          <w:p>
            <w:pPr>
              <w:pStyle w:val="Compact"/>
              <w:jc w:val="left"/>
            </w:pPr>
            <w:r>
              <w:rPr>
                <w:rFonts w:hint="eastAsia"/>
              </w:rPr>
              <w:t xml:space="preserve">条件性参数不确定性</w:t>
            </w:r>
          </w:p>
        </w:tc>
      </w:tr>
      <w:tr>
        <w:tc>
          <w:tcPr/>
          <w:p>
            <w:pPr>
              <w:pStyle w:val="Compact"/>
              <w:jc w:val="left"/>
            </w:pPr>
            <w:r>
              <w:rPr>
                <w:rFonts w:hint="eastAsia"/>
              </w:rPr>
              <w:t xml:space="preserve">95%单日预测区间</w:t>
            </w:r>
          </w:p>
        </w:tc>
        <w:tc>
          <w:tcPr/>
          <w:p>
            <w:pPr>
              <w:pStyle w:val="Compact"/>
              <w:jc w:val="right"/>
            </w:pPr>
            <w:r>
              <w:t xml:space="preserve">—</w:t>
            </w:r>
          </w:p>
        </w:tc>
        <w:tc>
          <w:tcPr/>
          <w:p>
            <w:pPr>
              <w:pStyle w:val="Compact"/>
              <w:jc w:val="right"/>
            </w:pPr>
            <w:r>
              <w:t xml:space="preserve">255.655</w:t>
            </w:r>
          </w:p>
        </w:tc>
        <w:tc>
          <w:tcPr/>
          <w:p>
            <w:pPr>
              <w:pStyle w:val="Compact"/>
              <w:jc w:val="right"/>
            </w:pPr>
            <w:r>
              <w:t xml:space="preserve">256.839</w:t>
            </w:r>
          </w:p>
        </w:tc>
        <w:tc>
          <w:tcPr/>
          <w:p>
            <w:pPr>
              <w:pStyle w:val="Compact"/>
              <w:jc w:val="left"/>
            </w:pPr>
            <w:r>
              <w:rPr>
                <w:rFonts w:hint="eastAsia"/>
              </w:rPr>
              <w:t xml:space="preserve">条件性参数与日级残差不确定性</w:t>
            </w:r>
          </w:p>
        </w:tc>
      </w:tr>
    </w:tbl>
    <w:p>
      <w:pPr>
        <w:pStyle w:val="BodyText"/>
      </w:pPr>
      <w:r>
        <w:rPr>
          <w:rFonts w:hint="eastAsia"/>
        </w:rPr>
        <w:t xml:space="preserve">预测区间包含单日残差波动，因此宽于期望值置信区间。作为敏感性核对，再以同一M0定义按辐照度缩放残差重采样并在原尺度重拟合[3]，所得区间与主区间接近，未改变第16日判断。由于只有15个历史日，上述“95%”是模型条件下的区间标记，不能被解释为精确覆盖率的证明；第16日气象预报本身的误差、候选模型选择不确定性、未来故障状态变化、限发和逆变器事件也未纳入区间。</w:t>
      </w:r>
    </w:p>
    <w:bookmarkEnd w:id="28"/>
    <w:bookmarkEnd w:id="29"/>
    <w:bookmarkStart w:id="38" w:name="五任务三有限预算下的维修排序与增发量"/>
    <w:p>
      <w:pPr>
        <w:pStyle w:val="Heading2"/>
      </w:pPr>
      <w:r>
        <w:rPr>
          <w:rFonts w:hint="eastAsia"/>
        </w:rPr>
        <w:t xml:space="preserve">五、任务三：有限预算下的维修排序与增发量</w:t>
      </w:r>
    </w:p>
    <w:bookmarkStart w:id="30" w:name="历史可恢复损失"/>
    <w:p>
      <w:pPr>
        <w:pStyle w:val="Heading3"/>
      </w:pPr>
      <w:r>
        <w:t xml:space="preserve">5.1 </w:t>
      </w:r>
      <w:r>
        <w:rPr>
          <w:rFonts w:hint="eastAsia"/>
        </w:rPr>
        <w:t xml:space="preserve">历史可恢复损失</w:t>
      </w:r>
    </w:p>
    <w:p>
      <w:pPr>
        <w:pStyle w:val="FirstParagraph"/>
      </w:pPr>
      <w:r>
        <w:rPr>
          <w:rFonts w:hint="eastAsia"/>
        </w:rPr>
        <w:t xml:space="preserve">任务三只对任务一判定为隐裂或热斑的30块组件排序。令组件</w:t>
      </w:r>
      <m:oMath>
        <m:r>
          <m:t>i</m:t>
        </m:r>
      </m:oMath>
      <w:r>
        <w:rPr>
          <w:rFonts w:hint="eastAsia"/>
        </w:rPr>
        <w:t xml:space="preserve">的15日平均实际发电量为</w:t>
      </w:r>
    </w:p>
    <w:p>
      <w:pPr>
        <w:pStyle w:val="BodyText"/>
      </w:pPr>
      <m:oMathPara>
        <m:oMathParaPr>
          <m:jc m:val="center"/>
        </m:oMathParaPr>
        <m:oMath>
          <m:sSub>
            <m:e>
              <m:acc>
                <m:accPr>
                  <m:chr m:val="‾"/>
                </m:accPr>
                <m:e>
                  <m:r>
                    <m:t>E</m:t>
                  </m:r>
                </m:e>
              </m:acc>
            </m:e>
            <m:sub>
              <m:r>
                <m:t>i</m:t>
              </m:r>
            </m:sub>
          </m:sSub>
          <m:r>
            <m:rPr>
              <m:sty m:val="p"/>
            </m:rPr>
            <m:t>=</m:t>
          </m:r>
          <m:f>
            <m:fPr>
              <m:type m:val="bar"/>
            </m:fPr>
            <m:num>
              <m:r>
                <m:t>1</m:t>
              </m:r>
            </m:num>
            <m:den>
              <m:r>
                <m:t>15</m:t>
              </m:r>
            </m:den>
          </m:f>
          <m:nary>
            <m:naryPr>
              <m:chr m:val="∑"/>
              <m:limLoc m:val="undOvr"/>
              <m:subHide m:val="off"/>
              <m:supHide m:val="off"/>
            </m:naryPr>
            <m:sub>
              <m:r>
                <m:t>d</m:t>
              </m:r>
              <m:r>
                <m:rPr>
                  <m:sty m:val="p"/>
                </m:rPr>
                <m:t>=</m:t>
              </m:r>
              <m:r>
                <m:t>1</m:t>
              </m:r>
            </m:sub>
            <m:sup>
              <m:r>
                <m:t>15</m:t>
              </m:r>
            </m:sup>
            <m:e>
              <m:sSub>
                <m:e>
                  <m:r>
                    <m:t>E</m:t>
                  </m:r>
                </m:e>
                <m:sub>
                  <m:r>
                    <m:t>i</m:t>
                  </m:r>
                  <m:r>
                    <m:t>d</m:t>
                  </m:r>
                </m:sub>
              </m:sSub>
            </m:e>
          </m:nary>
          <m:r>
            <m:rPr>
              <m:sty m:val="p"/>
            </m:rPr>
            <m:t>.</m:t>
          </m:r>
        </m:oMath>
      </m:oMathPara>
    </w:p>
    <w:p>
      <w:pPr>
        <w:pStyle w:val="FirstParagraph"/>
      </w:pPr>
      <w:r>
        <w:rPr>
          <w:rFonts w:hint="eastAsia"/>
        </w:rPr>
        <w:t xml:space="preserve">由题目偏差率定义</w:t>
      </w:r>
    </w:p>
    <w:p>
      <w:pPr>
        <w:pStyle w:val="BodyText"/>
      </w:pPr>
      <m:oMathPara>
        <m:oMathParaPr>
          <m:jc m:val="center"/>
        </m:oMathParaPr>
        <m:oMath>
          <m:sSub>
            <m:e>
              <m:r>
                <m:t>b</m:t>
              </m:r>
            </m:e>
            <m:sub>
              <m:r>
                <m:t>i</m:t>
              </m:r>
            </m:sub>
          </m:sSub>
          <m:r>
            <m:rPr>
              <m:sty m:val="p"/>
            </m:rPr>
            <m:t>=</m:t>
          </m:r>
          <m:f>
            <m:fPr>
              <m:type m:val="bar"/>
            </m:fPr>
            <m:num>
              <m:sSub>
                <m:e>
                  <m:acc>
                    <m:accPr>
                      <m:chr m:val="‾"/>
                    </m:accPr>
                    <m:e>
                      <m:r>
                        <m:t>E</m:t>
                      </m:r>
                    </m:e>
                  </m:acc>
                </m:e>
                <m:sub>
                  <m:r>
                    <m:t>i</m:t>
                  </m:r>
                </m:sub>
              </m:sSub>
              <m:r>
                <m:rPr>
                  <m:sty m:val="p"/>
                </m:rPr>
                <m:t>−</m:t>
              </m:r>
              <m:sSubSup>
                <m:e>
                  <m:acc>
                    <m:accPr>
                      <m:chr m:val="‾"/>
                    </m:accPr>
                    <m:e>
                      <m:r>
                        <m:t>E</m:t>
                      </m:r>
                    </m:e>
                  </m:acc>
                </m:e>
                <m:sub>
                  <m:r>
                    <m:t>i</m:t>
                  </m:r>
                </m:sub>
                <m:sup>
                  <m:r>
                    <m:rPr>
                      <m:sty m:val="p"/>
                    </m:rPr>
                    <m:t>(</m:t>
                  </m:r>
                  <m:r>
                    <m:t>0</m:t>
                  </m:r>
                  <m:r>
                    <m:rPr>
                      <m:sty m:val="p"/>
                    </m:rPr>
                    <m:t>)</m:t>
                  </m:r>
                </m:sup>
              </m:sSubSup>
            </m:num>
            <m:den>
              <m:sSubSup>
                <m:e>
                  <m:acc>
                    <m:accPr>
                      <m:chr m:val="‾"/>
                    </m:accPr>
                    <m:e>
                      <m:r>
                        <m:t>E</m:t>
                      </m:r>
                    </m:e>
                  </m:acc>
                </m:e>
                <m:sub>
                  <m:r>
                    <m:t>i</m:t>
                  </m:r>
                </m:sub>
                <m:sup>
                  <m:r>
                    <m:rPr>
                      <m:sty m:val="p"/>
                    </m:rPr>
                    <m:t>(</m:t>
                  </m:r>
                  <m:r>
                    <m:t>0</m:t>
                  </m:r>
                  <m:r>
                    <m:rPr>
                      <m:sty m:val="p"/>
                    </m:rPr>
                    <m:t>)</m:t>
                  </m:r>
                </m:sup>
              </m:sSubSup>
            </m:den>
          </m:f>
          <m:r>
            <m:rPr>
              <m:sty m:val="p"/>
            </m:rPr>
            <m:t>,</m:t>
          </m:r>
        </m:oMath>
      </m:oMathPara>
    </w:p>
    <w:p>
      <w:pPr>
        <w:pStyle w:val="FirstParagraph"/>
      </w:pPr>
      <w:r>
        <w:rPr>
          <w:rFonts w:hint="eastAsia"/>
        </w:rPr>
        <w:t xml:space="preserve">可反推出正常反事实平均发电量</w:t>
      </w:r>
    </w:p>
    <w:p>
      <w:pPr>
        <w:pStyle w:val="BodyText"/>
      </w:pPr>
      <m:oMathPara>
        <m:oMathParaPr>
          <m:jc m:val="center"/>
        </m:oMathParaPr>
        <m:oMath>
          <m:sSubSup>
            <m:e>
              <m:acc>
                <m:accPr>
                  <m:chr m:val="‾"/>
                </m:accPr>
                <m:e>
                  <m:r>
                    <m:t>E</m:t>
                  </m:r>
                </m:e>
              </m:acc>
            </m:e>
            <m:sub>
              <m:r>
                <m:t>i</m:t>
              </m:r>
            </m:sub>
            <m:sup>
              <m:r>
                <m:rPr>
                  <m:sty m:val="p"/>
                </m:rPr>
                <m:t>(</m:t>
              </m:r>
              <m:r>
                <m:t>0</m:t>
              </m:r>
              <m:r>
                <m:rPr>
                  <m:sty m:val="p"/>
                </m:rPr>
                <m:t>)</m:t>
              </m:r>
            </m:sup>
          </m:sSubSup>
          <m:r>
            <m:rPr>
              <m:sty m:val="p"/>
            </m:rPr>
            <m:t>=</m:t>
          </m:r>
          <m:f>
            <m:fPr>
              <m:type m:val="bar"/>
            </m:fPr>
            <m:num>
              <m:sSub>
                <m:e>
                  <m:acc>
                    <m:accPr>
                      <m:chr m:val="‾"/>
                    </m:accPr>
                    <m:e>
                      <m:r>
                        <m:t>E</m:t>
                      </m:r>
                    </m:e>
                  </m:acc>
                </m:e>
                <m:sub>
                  <m:r>
                    <m:t>i</m:t>
                  </m:r>
                </m:sub>
              </m:sSub>
            </m:num>
            <m:den>
              <m:r>
                <m:t>1</m:t>
              </m:r>
              <m:r>
                <m:rPr>
                  <m:sty m:val="p"/>
                </m:rPr>
                <m:t>+</m:t>
              </m:r>
              <m:sSub>
                <m:e>
                  <m:r>
                    <m:t>b</m:t>
                  </m:r>
                </m:e>
                <m:sub>
                  <m:r>
                    <m:t>i</m:t>
                  </m:r>
                </m:sub>
              </m:sSub>
            </m:den>
          </m:f>
          <m:r>
            <m:rPr>
              <m:sty m:val="p"/>
            </m:rPr>
            <m:t>.</m:t>
          </m:r>
        </m:oMath>
      </m:oMathPara>
    </w:p>
    <w:p>
      <w:pPr>
        <w:pStyle w:val="FirstParagraph"/>
      </w:pPr>
      <w:r>
        <w:rPr>
          <w:rFonts w:hint="eastAsia"/>
        </w:rPr>
        <w:t xml:space="preserve">因此，组件</w:t>
      </w:r>
      <m:oMath>
        <m:r>
          <m:t>i</m:t>
        </m:r>
      </m:oMath>
      <w:r>
        <w:rPr>
          <w:rFonts w:hint="eastAsia"/>
        </w:rPr>
        <w:t xml:space="preserve">的历史平均每日绝对可恢复损失（单位为kWh/day）为</w:t>
      </w:r>
    </w:p>
    <w:p>
      <w:pPr>
        <w:pStyle w:val="BodyText"/>
      </w:pPr>
      <m:oMathPara>
        <m:oMathParaPr>
          <m:jc m:val="center"/>
        </m:oMathParaPr>
        <m:oMath>
          <m:sSub>
            <m:e>
              <m:r>
                <m:t>L</m:t>
              </m:r>
            </m:e>
            <m:sub>
              <m:r>
                <m:t>i</m:t>
              </m:r>
            </m:sub>
          </m:sSub>
          <m:r>
            <m:rPr>
              <m:sty m:val="p"/>
            </m:rPr>
            <m:t>=</m:t>
          </m:r>
          <m:sSubSup>
            <m:e>
              <m:acc>
                <m:accPr>
                  <m:chr m:val="‾"/>
                </m:accPr>
                <m:e>
                  <m:r>
                    <m:t>E</m:t>
                  </m:r>
                </m:e>
              </m:acc>
            </m:e>
            <m:sub>
              <m:r>
                <m:t>i</m:t>
              </m:r>
            </m:sub>
            <m:sup>
              <m:r>
                <m:rPr>
                  <m:sty m:val="p"/>
                </m:rPr>
                <m:t>(</m:t>
              </m:r>
              <m:r>
                <m:t>0</m:t>
              </m:r>
              <m:r>
                <m:rPr>
                  <m:sty m:val="p"/>
                </m:rPr>
                <m:t>)</m:t>
              </m:r>
            </m:sup>
          </m:sSubSup>
          <m:r>
            <m:rPr>
              <m:sty m:val="p"/>
            </m:rPr>
            <m:t>−</m:t>
          </m:r>
          <m:sSub>
            <m:e>
              <m:acc>
                <m:accPr>
                  <m:chr m:val="‾"/>
                </m:accPr>
                <m:e>
                  <m:r>
                    <m:t>E</m:t>
                  </m:r>
                </m:e>
              </m:acc>
            </m:e>
            <m:sub>
              <m:r>
                <m:t>i</m:t>
              </m:r>
            </m:sub>
          </m:sSub>
          <m:r>
            <m:rPr>
              <m:sty m:val="p"/>
            </m:rPr>
            <m:t>=</m:t>
          </m:r>
          <m:r>
            <m:rPr>
              <m:sty m:val="p"/>
            </m:rPr>
            <m:t>−</m:t>
          </m:r>
          <m:f>
            <m:fPr>
              <m:type m:val="bar"/>
            </m:fPr>
            <m:num>
              <m:sSub>
                <m:e>
                  <m:r>
                    <m:t>b</m:t>
                  </m:r>
                </m:e>
                <m:sub>
                  <m:r>
                    <m:t>i</m:t>
                  </m:r>
                </m:sub>
              </m:sSub>
            </m:num>
            <m:den>
              <m:r>
                <m:t>1</m:t>
              </m:r>
              <m:r>
                <m:rPr>
                  <m:sty m:val="p"/>
                </m:rPr>
                <m:t>+</m:t>
              </m:r>
              <m:sSub>
                <m:e>
                  <m:r>
                    <m:t>b</m:t>
                  </m:r>
                </m:e>
                <m:sub>
                  <m:r>
                    <m:t>i</m:t>
                  </m:r>
                </m:sub>
              </m:sSub>
            </m:den>
          </m:f>
          <m:sSub>
            <m:e>
              <m:acc>
                <m:accPr>
                  <m:chr m:val="‾"/>
                </m:accPr>
                <m:e>
                  <m:r>
                    <m:t>E</m:t>
                  </m:r>
                </m:e>
              </m:acc>
            </m:e>
            <m:sub>
              <m:r>
                <m:t>i</m:t>
              </m:r>
            </m:sub>
          </m:sSub>
          <m:r>
            <m:rPr>
              <m:sty m:val="p"/>
            </m:rPr>
            <m:t>.</m:t>
          </m:r>
        </m:oMath>
      </m:oMathPara>
    </w:p>
    <w:p>
      <w:pPr>
        <w:pStyle w:val="FirstParagraph"/>
      </w:pPr>
      <w:r>
        <w:rPr>
          <w:rFonts w:hint="eastAsia"/>
        </w:rPr>
        <w:t xml:space="preserve">当前30块故障组件的偏差率均满足</w:t>
      </w:r>
      <m:oMath>
        <m:r>
          <m:rPr>
            <m:sty m:val="p"/>
          </m:rPr>
          <m:t>−</m:t>
        </m:r>
        <m:r>
          <m:t>1</m:t>
        </m:r>
        <m:r>
          <m:rPr>
            <m:sty m:val="p"/>
          </m:rPr>
          <m:t>&lt;</m:t>
        </m:r>
        <m:sSub>
          <m:e>
            <m:r>
              <m:t>b</m:t>
            </m:r>
          </m:e>
          <m:sub>
            <m:r>
              <m:t>i</m:t>
            </m:r>
          </m:sub>
        </m:sSub>
        <m:r>
          <m:rPr>
            <m:sty m:val="p"/>
          </m:rPr>
          <m:t>&lt;</m:t>
        </m:r>
        <m:r>
          <m:t>0</m:t>
        </m:r>
      </m:oMath>
      <w:r>
        <w:rPr>
          <w:rFonts w:hint="eastAsia"/>
        </w:rPr>
        <w:t xml:space="preserve">，所以式（12）给出的损失均为正。主排序使用</w:t>
      </w:r>
      <m:oMath>
        <m:sSub>
          <m:e>
            <m:r>
              <m:t>L</m:t>
            </m:r>
          </m:e>
          <m:sub>
            <m:r>
              <m:t>i</m:t>
            </m:r>
          </m:sub>
        </m:sSub>
      </m:oMath>
      <w:r>
        <w:rPr>
          <w:rFonts w:hint="eastAsia"/>
        </w:rPr>
        <w:t xml:space="preserve">而不是百分比偏差或第16日的条件增益，因而与15日历史平均绝对可恢复损失这一目标一致。</w:t>
      </w:r>
    </w:p>
    <w:p>
      <w:pPr>
        <w:pStyle w:val="BodyText"/>
      </w:pPr>
      <w:r>
        <w:rPr>
          <w:rFonts w:hint="eastAsia"/>
        </w:rPr>
        <w:t xml:space="preserve">偏差率衡量的是组件相对自身正常基准的受损程度，维修目标却是全站实际能够追回的电量。正常反事实发电量不同的两块组件，即使偏差率相同，可恢复的kWh也不同；反之，偏差率更大的组件也未必带来更大的绝对损失。例如PV044的偏差率为</w:t>
      </w:r>
      <m:oMath>
        <m:r>
          <m:rPr>
            <m:sty m:val="p"/>
          </m:rPr>
          <m:t>−</m:t>
        </m:r>
        <m:r>
          <m:t>29.3</m:t>
        </m:r>
        <m:r>
          <m:rPr>
            <m:sty m:val="p"/>
          </m:rPr>
          <m:t>%</m:t>
        </m:r>
      </m:oMath>
      <w:r>
        <w:rPr>
          <w:rFonts w:hint="eastAsia"/>
        </w:rPr>
        <w:t xml:space="preserve">，绝对损失为0.615</w:t>
      </w:r>
      <w:r>
        <w:t xml:space="preserve"> </w:t>
      </w:r>
      <w:r>
        <w:rPr>
          <w:rFonts w:hint="eastAsia"/>
        </w:rPr>
        <w:t xml:space="preserve">kWh/day，略高于偏差率更大的PV071（</w:t>
      </w:r>
      <m:oMath>
        <m:r>
          <m:rPr>
            <m:sty m:val="p"/>
          </m:rPr>
          <m:t>−</m:t>
        </m:r>
        <m:r>
          <m:t>30.1</m:t>
        </m:r>
        <m:r>
          <m:rPr>
            <m:sty m:val="p"/>
          </m:rPr>
          <m:t>%</m:t>
        </m:r>
      </m:oMath>
      <w:r>
        <w:rPr>
          <w:rFonts w:hint="eastAsia"/>
        </w:rPr>
        <w:t xml:space="preserve">，0.614</w:t>
      </w:r>
      <w:r>
        <w:t xml:space="preserve"> </w:t>
      </w:r>
      <w:r>
        <w:rPr>
          <w:rFonts w:hint="eastAsia"/>
        </w:rPr>
        <w:t xml:space="preserve">kWh/day）。若按偏差率绝对值排序，就会把“相对更严重”误当成“对全站增发贡献更大”，与题目要求的发电量损失目标不一致。</w:t>
      </w:r>
    </w:p>
    <w:bookmarkEnd w:id="30"/>
    <w:bookmarkStart w:id="31" w:name="等预算下的前10名交换论证"/>
    <w:p>
      <w:pPr>
        <w:pStyle w:val="Heading3"/>
      </w:pPr>
      <w:r>
        <w:t xml:space="preserve">5.2 </w:t>
      </w:r>
      <w:r>
        <w:rPr>
          <w:rFonts w:hint="eastAsia"/>
        </w:rPr>
        <w:t xml:space="preserve">等预算下的前10名交换论证</w:t>
      </w:r>
    </w:p>
    <w:p>
      <w:pPr>
        <w:pStyle w:val="FirstParagraph"/>
      </w:pPr>
      <w:r>
        <w:rPr>
          <w:rFonts w:hint="eastAsia"/>
        </w:rPr>
        <w:t xml:space="preserve">设维修集合为</w:t>
      </w:r>
      <m:oMath>
        <m:r>
          <m:t>S</m:t>
        </m:r>
      </m:oMath>
      <w:r>
        <w:rPr>
          <w:rFonts w:hint="eastAsia"/>
        </w:rPr>
        <w:t xml:space="preserve">，在每块组件占用相同预算、最多维修10块、组件损失非负且相互独立的条件下，集合收益为</w:t>
      </w:r>
    </w:p>
    <w:p>
      <w:pPr>
        <w:pStyle w:val="BodyText"/>
      </w:pPr>
      <m:oMathPara>
        <m:oMathParaPr>
          <m:jc m:val="center"/>
        </m:oMathParaPr>
        <m:oMath>
          <m:r>
            <m:t>G</m:t>
          </m:r>
          <m:r>
            <m:rPr>
              <m:sty m:val="p"/>
            </m:rPr>
            <m:t>(</m:t>
          </m:r>
          <m:r>
            <m:t>S</m:t>
          </m:r>
          <m:r>
            <m:rPr>
              <m:sty m:val="p"/>
            </m:rPr>
            <m:t>)</m:t>
          </m:r>
          <m:r>
            <m:rPr>
              <m:sty m:val="p"/>
            </m:rPr>
            <m:t>=</m:t>
          </m:r>
          <m:nary>
            <m:naryPr>
              <m:chr m:val="∑"/>
              <m:limLoc m:val="undOvr"/>
              <m:subHide m:val="off"/>
              <m:supHide m:val="on"/>
            </m:naryPr>
            <m:sub>
              <m:r>
                <m:t>i</m:t>
              </m:r>
              <m:r>
                <m:rPr>
                  <m:sty m:val="p"/>
                </m:rPr>
                <m:t>∈</m:t>
              </m:r>
              <m:r>
                <m:t>S</m:t>
              </m:r>
            </m:sub>
            <m:sup>
              <m:r>
                <m:t>​</m:t>
              </m:r>
            </m:sup>
            <m:e>
              <m:sSub>
                <m:e>
                  <m:r>
                    <m:t>L</m:t>
                  </m:r>
                </m:e>
                <m:sub>
                  <m:r>
                    <m:t>i</m:t>
                  </m:r>
                </m:sub>
              </m:sSub>
            </m:e>
          </m:nary>
          <m:r>
            <m:rPr>
              <m:sty m:val="p"/>
            </m:rPr>
            <m:t>.</m:t>
          </m:r>
        </m:oMath>
      </m:oMathPara>
    </w:p>
    <w:p>
      <w:pPr>
        <w:pStyle w:val="FirstParagraph"/>
      </w:pPr>
      <w:r>
        <w:rPr>
          <w:rFonts w:hint="eastAsia"/>
        </w:rPr>
        <w:t xml:space="preserve">因此该问题不是带有不同成本或相互作用的一般背包问题，而是在线性可加收益下施加“集合中至多包含10块组件”的基数约束；一个集合的价值只由其中各项</w:t>
      </w:r>
      <m:oMath>
        <m:sSub>
          <m:e>
            <m:r>
              <m:t>L</m:t>
            </m:r>
          </m:e>
          <m:sub>
            <m:r>
              <m:t>i</m:t>
            </m:r>
          </m:sub>
        </m:sSub>
      </m:oMath>
      <w:r>
        <w:rPr>
          <w:rFonts w:hint="eastAsia"/>
        </w:rPr>
        <w:t xml:space="preserve">之和决定。</w:t>
      </w:r>
    </w:p>
    <w:p>
      <w:pPr>
        <w:pStyle w:val="BodyText"/>
      </w:pPr>
      <w:r>
        <w:rPr>
          <w:rFonts w:hint="eastAsia"/>
        </w:rPr>
        <w:t xml:space="preserve">若某个10块集合包含损失较小的组件</w:t>
      </w:r>
      <m:oMath>
        <m:r>
          <m:t>j</m:t>
        </m:r>
      </m:oMath>
      <w:r>
        <w:rPr>
          <w:rFonts w:hint="eastAsia"/>
        </w:rPr>
        <w:t xml:space="preserve">，而集合外存在</w:t>
      </w:r>
      <m:oMath>
        <m:sSub>
          <m:e>
            <m:r>
              <m:t>L</m:t>
            </m:r>
          </m:e>
          <m:sub>
            <m:r>
              <m:t>k</m:t>
            </m:r>
          </m:sub>
        </m:sSub>
        <m:r>
          <m:rPr>
            <m:sty m:val="p"/>
          </m:rPr>
          <m:t>&gt;</m:t>
        </m:r>
        <m:sSub>
          <m:e>
            <m:r>
              <m:t>L</m:t>
            </m:r>
          </m:e>
          <m:sub>
            <m:r>
              <m:t>j</m:t>
            </m:r>
          </m:sub>
        </m:sSub>
      </m:oMath>
      <w:r>
        <w:rPr>
          <w:rFonts w:hint="eastAsia"/>
        </w:rPr>
        <w:t xml:space="preserve">的组件</w:t>
      </w:r>
      <m:oMath>
        <m:r>
          <m:t>k</m:t>
        </m:r>
      </m:oMath>
      <w:r>
        <w:rPr>
          <w:rFonts w:hint="eastAsia"/>
        </w:rPr>
        <w:t xml:space="preserve">，用</w:t>
      </w:r>
      <m:oMath>
        <m:r>
          <m:t>k</m:t>
        </m:r>
      </m:oMath>
      <w:r>
        <w:rPr>
          <w:rFonts w:hint="eastAsia"/>
        </w:rPr>
        <w:t xml:space="preserve">替换</w:t>
      </w:r>
      <m:oMath>
        <m:r>
          <m:t>j</m:t>
        </m:r>
      </m:oMath>
      <w:r>
        <w:rPr>
          <w:rFonts w:hint="eastAsia"/>
        </w:rPr>
        <w:t xml:space="preserve">后仍满足预算约束，且集合收益增加</w:t>
      </w:r>
      <m:oMath>
        <m:sSub>
          <m:e>
            <m:r>
              <m:t>L</m:t>
            </m:r>
          </m:e>
          <m:sub>
            <m:r>
              <m:t>k</m:t>
            </m:r>
          </m:sub>
        </m:sSub>
        <m:r>
          <m:rPr>
            <m:sty m:val="p"/>
          </m:rPr>
          <m:t>−</m:t>
        </m:r>
        <m:sSub>
          <m:e>
            <m:r>
              <m:t>L</m:t>
            </m:r>
          </m:e>
          <m:sub>
            <m:r>
              <m:t>j</m:t>
            </m:r>
          </m:sub>
        </m:sSub>
      </m:oMath>
      <w:r>
        <w:rPr>
          <w:rFonts w:hint="eastAsia"/>
        </w:rPr>
        <w:t xml:space="preserve">。反复交换可知，将</w:t>
      </w:r>
      <m:oMath>
        <m:sSub>
          <m:e>
            <m:r>
              <m:t>L</m:t>
            </m:r>
          </m:e>
          <m:sub>
            <m:r>
              <m:t>i</m:t>
            </m:r>
          </m:sub>
        </m:sSub>
      </m:oMath>
      <w:r>
        <w:rPr>
          <w:rFonts w:hint="eastAsia"/>
        </w:rPr>
        <w:t xml:space="preserve">降序排列并取前10名即为式（13）目标下的精确最优集合。该结论依赖等成本、独立可加和以及最多10块这三个条件；它不是对真实电气耦合系统的普遍最优性断言。</w:t>
      </w:r>
    </w:p>
    <w:bookmarkEnd w:id="31"/>
    <w:bookmarkStart w:id="35" w:name="优先维修名单"/>
    <w:p>
      <w:pPr>
        <w:pStyle w:val="Heading3"/>
      </w:pPr>
      <w:r>
        <w:t xml:space="preserve">5.3 </w:t>
      </w:r>
      <w:r>
        <w:rPr>
          <w:rFonts w:hint="eastAsia"/>
        </w:rPr>
        <w:t xml:space="preserve">优先维修名单</w:t>
      </w:r>
    </w:p>
    <w:p>
      <w:pPr>
        <w:pStyle w:val="FirstParagraph"/>
      </w:pPr>
      <w:r>
        <w:rPr>
          <w:rFonts w:hint="eastAsia"/>
        </w:rPr>
        <w:t xml:space="preserve">前10名组件及其历史可恢复损失见表6。</w:t>
      </w:r>
    </w:p>
    <w:p>
      <w:pPr>
        <w:pStyle w:val="BodyText"/>
      </w:pPr>
      <w:r>
        <w:rPr>
          <w:rFonts w:hint="eastAsia"/>
          <w:b/>
          <w:bCs/>
        </w:rPr>
        <w:t xml:space="preserve">表6</w:t>
      </w:r>
      <w:r>
        <w:rPr>
          <w:b/>
          <w:bCs/>
        </w:rPr>
        <w:t xml:space="preserve"> </w:t>
      </w:r>
      <w:r>
        <w:rPr>
          <w:rFonts w:hint="eastAsia"/>
          <w:b/>
          <w:bCs/>
        </w:rPr>
        <w:t xml:space="preserve">前10块优先维修组件及历史可恢复损失</w:t>
      </w:r>
    </w:p>
    <w:tbl>
      <w:tblPr>
        <w:tblStyle w:val="Table"/>
        <w:tblW w:type="pct" w:w="5000"/>
        <w:tblLayout w:type="fixed"/>
        <w:tblLook w:firstRow="1" w:lastRow="0" w:firstColumn="0" w:lastColumn="0" w:noHBand="0" w:noVBand="0" w:val="0020"/>
      </w:tblPr>
      <w:tblGrid>
        <w:gridCol w:w="1056"/>
        <w:gridCol w:w="1320"/>
        <w:gridCol w:w="1320"/>
        <w:gridCol w:w="1056"/>
        <w:gridCol w:w="1056"/>
        <w:gridCol w:w="1056"/>
        <w:gridCol w:w="1056"/>
      </w:tblGrid>
      <w:tr>
        <w:trPr>
          <w:tblHeader w:val="on"/>
        </w:trPr>
        <w:tc>
          <w:tcPr/>
          <w:p>
            <w:pPr>
              <w:pStyle w:val="Compact"/>
              <w:jc w:val="right"/>
            </w:pPr>
            <w:r>
              <w:rPr>
                <w:rFonts w:hint="eastAsia"/>
              </w:rPr>
              <w:t xml:space="preserve">排名</w:t>
            </w:r>
          </w:p>
        </w:tc>
        <w:tc>
          <w:tcPr/>
          <w:p>
            <w:pPr>
              <w:pStyle w:val="Compact"/>
              <w:jc w:val="center"/>
            </w:pPr>
            <w:r>
              <w:rPr>
                <w:rFonts w:hint="eastAsia"/>
              </w:rPr>
              <w:t xml:space="preserve">组件</w:t>
            </w:r>
          </w:p>
        </w:tc>
        <w:tc>
          <w:tcPr/>
          <w:p>
            <w:pPr>
              <w:pStyle w:val="Compact"/>
              <w:jc w:val="center"/>
            </w:pPr>
            <w:r>
              <w:rPr>
                <w:rFonts w:hint="eastAsia"/>
              </w:rPr>
              <w:t xml:space="preserve">类别</w:t>
            </w:r>
          </w:p>
        </w:tc>
        <w:tc>
          <w:tcPr/>
          <w:p>
            <w:pPr>
              <w:pStyle w:val="Compact"/>
              <w:jc w:val="right"/>
            </w:pPr>
            <w:r>
              <w:rPr>
                <w:rFonts w:hint="eastAsia"/>
              </w:rPr>
              <w:t xml:space="preserve">偏差率/%</w:t>
            </w:r>
          </w:p>
        </w:tc>
        <w:tc>
          <w:tcPr/>
          <w:p>
            <w:pPr>
              <w:pStyle w:val="Compact"/>
              <w:jc w:val="right"/>
            </w:pPr>
            <w:r>
              <w:rPr>
                <w:rFonts w:hint="eastAsia"/>
              </w:rPr>
              <w:t xml:space="preserve">正常反事实/kWh/day</w:t>
            </w:r>
          </w:p>
        </w:tc>
        <w:tc>
          <w:tcPr/>
          <w:p>
            <w:pPr>
              <w:pStyle w:val="Compact"/>
              <w:jc w:val="right"/>
            </w:pPr>
            <w:r>
              <w:rPr>
                <w:rFonts w:hint="eastAsia"/>
              </w:rPr>
              <w:t xml:space="preserve">可恢复损失/kWh/day</w:t>
            </w:r>
          </w:p>
        </w:tc>
        <w:tc>
          <w:tcPr/>
          <w:p>
            <w:pPr>
              <w:pStyle w:val="Compact"/>
              <w:jc w:val="right"/>
            </w:pPr>
            <w:r>
              <w:rPr>
                <w:rFonts w:hint="eastAsia"/>
              </w:rPr>
              <w:t xml:space="preserve">累计损失/kWh/day</w:t>
            </w:r>
          </w:p>
        </w:tc>
      </w:tr>
      <w:tr>
        <w:tc>
          <w:tcPr/>
          <w:p>
            <w:pPr>
              <w:pStyle w:val="Compact"/>
              <w:jc w:val="right"/>
            </w:pPr>
            <w:r>
              <w:t xml:space="preserve">1</w:t>
            </w:r>
          </w:p>
        </w:tc>
        <w:tc>
          <w:tcPr/>
          <w:p>
            <w:pPr>
              <w:pStyle w:val="Compact"/>
              <w:jc w:val="center"/>
            </w:pPr>
            <w:r>
              <w:t xml:space="preserve">PV084</w:t>
            </w:r>
          </w:p>
        </w:tc>
        <w:tc>
          <w:tcPr/>
          <w:p>
            <w:pPr>
              <w:pStyle w:val="Compact"/>
              <w:jc w:val="center"/>
            </w:pPr>
            <w:r>
              <w:rPr>
                <w:rFonts w:hint="eastAsia"/>
              </w:rPr>
              <w:t xml:space="preserve">热斑</w:t>
            </w:r>
          </w:p>
        </w:tc>
        <w:tc>
          <w:tcPr/>
          <w:p>
            <w:pPr>
              <w:pStyle w:val="Compact"/>
              <w:jc w:val="right"/>
            </w:pPr>
            <w:r>
              <w:t xml:space="preserve">-33.1</w:t>
            </w:r>
          </w:p>
        </w:tc>
        <w:tc>
          <w:tcPr/>
          <w:p>
            <w:pPr>
              <w:pStyle w:val="Compact"/>
              <w:jc w:val="right"/>
            </w:pPr>
            <w:r>
              <w:t xml:space="preserve">2.089</w:t>
            </w:r>
          </w:p>
        </w:tc>
        <w:tc>
          <w:tcPr/>
          <w:p>
            <w:pPr>
              <w:pStyle w:val="Compact"/>
              <w:jc w:val="right"/>
            </w:pPr>
            <w:r>
              <w:t xml:space="preserve">0.691</w:t>
            </w:r>
          </w:p>
        </w:tc>
        <w:tc>
          <w:tcPr/>
          <w:p>
            <w:pPr>
              <w:pStyle w:val="Compact"/>
              <w:jc w:val="right"/>
            </w:pPr>
            <w:r>
              <w:t xml:space="preserve">0.691</w:t>
            </w:r>
          </w:p>
        </w:tc>
      </w:tr>
      <w:tr>
        <w:tc>
          <w:tcPr/>
          <w:p>
            <w:pPr>
              <w:pStyle w:val="Compact"/>
              <w:jc w:val="right"/>
            </w:pPr>
            <w:r>
              <w:t xml:space="preserve">2</w:t>
            </w:r>
          </w:p>
        </w:tc>
        <w:tc>
          <w:tcPr/>
          <w:p>
            <w:pPr>
              <w:pStyle w:val="Compact"/>
              <w:jc w:val="center"/>
            </w:pPr>
            <w:r>
              <w:t xml:space="preserve">PV044</w:t>
            </w:r>
          </w:p>
        </w:tc>
        <w:tc>
          <w:tcPr/>
          <w:p>
            <w:pPr>
              <w:pStyle w:val="Compact"/>
              <w:jc w:val="center"/>
            </w:pPr>
            <w:r>
              <w:rPr>
                <w:rFonts w:hint="eastAsia"/>
              </w:rPr>
              <w:t xml:space="preserve">热斑</w:t>
            </w:r>
          </w:p>
        </w:tc>
        <w:tc>
          <w:tcPr/>
          <w:p>
            <w:pPr>
              <w:pStyle w:val="Compact"/>
              <w:jc w:val="right"/>
            </w:pPr>
            <w:r>
              <w:t xml:space="preserve">-29.3</w:t>
            </w:r>
          </w:p>
        </w:tc>
        <w:tc>
          <w:tcPr/>
          <w:p>
            <w:pPr>
              <w:pStyle w:val="Compact"/>
              <w:jc w:val="right"/>
            </w:pPr>
            <w:r>
              <w:t xml:space="preserve">2.099</w:t>
            </w:r>
          </w:p>
        </w:tc>
        <w:tc>
          <w:tcPr/>
          <w:p>
            <w:pPr>
              <w:pStyle w:val="Compact"/>
              <w:jc w:val="right"/>
            </w:pPr>
            <w:r>
              <w:t xml:space="preserve">0.615</w:t>
            </w:r>
          </w:p>
        </w:tc>
        <w:tc>
          <w:tcPr/>
          <w:p>
            <w:pPr>
              <w:pStyle w:val="Compact"/>
              <w:jc w:val="right"/>
            </w:pPr>
            <w:r>
              <w:t xml:space="preserve">1.306</w:t>
            </w:r>
          </w:p>
        </w:tc>
      </w:tr>
      <w:tr>
        <w:tc>
          <w:tcPr/>
          <w:p>
            <w:pPr>
              <w:pStyle w:val="Compact"/>
              <w:jc w:val="right"/>
            </w:pPr>
            <w:r>
              <w:t xml:space="preserve">3</w:t>
            </w:r>
          </w:p>
        </w:tc>
        <w:tc>
          <w:tcPr/>
          <w:p>
            <w:pPr>
              <w:pStyle w:val="Compact"/>
              <w:jc w:val="center"/>
            </w:pPr>
            <w:r>
              <w:t xml:space="preserve">PV071</w:t>
            </w:r>
          </w:p>
        </w:tc>
        <w:tc>
          <w:tcPr/>
          <w:p>
            <w:pPr>
              <w:pStyle w:val="Compact"/>
              <w:jc w:val="center"/>
            </w:pPr>
            <w:r>
              <w:rPr>
                <w:rFonts w:hint="eastAsia"/>
              </w:rPr>
              <w:t xml:space="preserve">热斑</w:t>
            </w:r>
          </w:p>
        </w:tc>
        <w:tc>
          <w:tcPr/>
          <w:p>
            <w:pPr>
              <w:pStyle w:val="Compact"/>
              <w:jc w:val="right"/>
            </w:pPr>
            <w:r>
              <w:t xml:space="preserve">-30.1</w:t>
            </w:r>
          </w:p>
        </w:tc>
        <w:tc>
          <w:tcPr/>
          <w:p>
            <w:pPr>
              <w:pStyle w:val="Compact"/>
              <w:jc w:val="right"/>
            </w:pPr>
            <w:r>
              <w:t xml:space="preserve">2.038</w:t>
            </w:r>
          </w:p>
        </w:tc>
        <w:tc>
          <w:tcPr/>
          <w:p>
            <w:pPr>
              <w:pStyle w:val="Compact"/>
              <w:jc w:val="right"/>
            </w:pPr>
            <w:r>
              <w:t xml:space="preserve">0.614</w:t>
            </w:r>
          </w:p>
        </w:tc>
        <w:tc>
          <w:tcPr/>
          <w:p>
            <w:pPr>
              <w:pStyle w:val="Compact"/>
              <w:jc w:val="right"/>
            </w:pPr>
            <w:r>
              <w:t xml:space="preserve">1.920</w:t>
            </w:r>
          </w:p>
        </w:tc>
      </w:tr>
      <w:tr>
        <w:tc>
          <w:tcPr/>
          <w:p>
            <w:pPr>
              <w:pStyle w:val="Compact"/>
              <w:jc w:val="right"/>
            </w:pPr>
            <w:r>
              <w:t xml:space="preserve">4</w:t>
            </w:r>
          </w:p>
        </w:tc>
        <w:tc>
          <w:tcPr/>
          <w:p>
            <w:pPr>
              <w:pStyle w:val="Compact"/>
              <w:jc w:val="center"/>
            </w:pPr>
            <w:r>
              <w:t xml:space="preserve">PV060</w:t>
            </w:r>
          </w:p>
        </w:tc>
        <w:tc>
          <w:tcPr/>
          <w:p>
            <w:pPr>
              <w:pStyle w:val="Compact"/>
              <w:jc w:val="center"/>
            </w:pPr>
            <w:r>
              <w:rPr>
                <w:rFonts w:hint="eastAsia"/>
              </w:rPr>
              <w:t xml:space="preserve">热斑</w:t>
            </w:r>
          </w:p>
        </w:tc>
        <w:tc>
          <w:tcPr/>
          <w:p>
            <w:pPr>
              <w:pStyle w:val="Compact"/>
              <w:jc w:val="right"/>
            </w:pPr>
            <w:r>
              <w:t xml:space="preserve">-28.8</w:t>
            </w:r>
          </w:p>
        </w:tc>
        <w:tc>
          <w:tcPr/>
          <w:p>
            <w:pPr>
              <w:pStyle w:val="Compact"/>
              <w:jc w:val="right"/>
            </w:pPr>
            <w:r>
              <w:t xml:space="preserve">2.089</w:t>
            </w:r>
          </w:p>
        </w:tc>
        <w:tc>
          <w:tcPr/>
          <w:p>
            <w:pPr>
              <w:pStyle w:val="Compact"/>
              <w:jc w:val="right"/>
            </w:pPr>
            <w:r>
              <w:t xml:space="preserve">0.602</w:t>
            </w:r>
          </w:p>
        </w:tc>
        <w:tc>
          <w:tcPr/>
          <w:p>
            <w:pPr>
              <w:pStyle w:val="Compact"/>
              <w:jc w:val="right"/>
            </w:pPr>
            <w:r>
              <w:t xml:space="preserve">2.521</w:t>
            </w:r>
          </w:p>
        </w:tc>
      </w:tr>
      <w:tr>
        <w:tc>
          <w:tcPr/>
          <w:p>
            <w:pPr>
              <w:pStyle w:val="Compact"/>
              <w:jc w:val="right"/>
            </w:pPr>
            <w:r>
              <w:t xml:space="preserve">5</w:t>
            </w:r>
          </w:p>
        </w:tc>
        <w:tc>
          <w:tcPr/>
          <w:p>
            <w:pPr>
              <w:pStyle w:val="Compact"/>
              <w:jc w:val="center"/>
            </w:pPr>
            <w:r>
              <w:t xml:space="preserve">PV076</w:t>
            </w:r>
          </w:p>
        </w:tc>
        <w:tc>
          <w:tcPr/>
          <w:p>
            <w:pPr>
              <w:pStyle w:val="Compact"/>
              <w:jc w:val="center"/>
            </w:pPr>
            <w:r>
              <w:rPr>
                <w:rFonts w:hint="eastAsia"/>
              </w:rPr>
              <w:t xml:space="preserve">热斑</w:t>
            </w:r>
          </w:p>
        </w:tc>
        <w:tc>
          <w:tcPr/>
          <w:p>
            <w:pPr>
              <w:pStyle w:val="Compact"/>
              <w:jc w:val="right"/>
            </w:pPr>
            <w:r>
              <w:t xml:space="preserve">-28.1</w:t>
            </w:r>
          </w:p>
        </w:tc>
        <w:tc>
          <w:tcPr/>
          <w:p>
            <w:pPr>
              <w:pStyle w:val="Compact"/>
              <w:jc w:val="right"/>
            </w:pPr>
            <w:r>
              <w:t xml:space="preserve">2.078</w:t>
            </w:r>
          </w:p>
        </w:tc>
        <w:tc>
          <w:tcPr/>
          <w:p>
            <w:pPr>
              <w:pStyle w:val="Compact"/>
              <w:jc w:val="right"/>
            </w:pPr>
            <w:r>
              <w:t xml:space="preserve">0.584</w:t>
            </w:r>
          </w:p>
        </w:tc>
        <w:tc>
          <w:tcPr/>
          <w:p>
            <w:pPr>
              <w:pStyle w:val="Compact"/>
              <w:jc w:val="right"/>
            </w:pPr>
            <w:r>
              <w:t xml:space="preserve">3.105</w:t>
            </w:r>
          </w:p>
        </w:tc>
      </w:tr>
      <w:tr>
        <w:tc>
          <w:tcPr/>
          <w:p>
            <w:pPr>
              <w:pStyle w:val="Compact"/>
              <w:jc w:val="right"/>
            </w:pPr>
            <w:r>
              <w:t xml:space="preserve">6</w:t>
            </w:r>
          </w:p>
        </w:tc>
        <w:tc>
          <w:tcPr/>
          <w:p>
            <w:pPr>
              <w:pStyle w:val="Compact"/>
              <w:jc w:val="center"/>
            </w:pPr>
            <w:r>
              <w:t xml:space="preserve">PV010</w:t>
            </w:r>
          </w:p>
        </w:tc>
        <w:tc>
          <w:tcPr/>
          <w:p>
            <w:pPr>
              <w:pStyle w:val="Compact"/>
              <w:jc w:val="center"/>
            </w:pPr>
            <w:r>
              <w:rPr>
                <w:rFonts w:hint="eastAsia"/>
              </w:rPr>
              <w:t xml:space="preserve">热斑</w:t>
            </w:r>
          </w:p>
        </w:tc>
        <w:tc>
          <w:tcPr/>
          <w:p>
            <w:pPr>
              <w:pStyle w:val="Compact"/>
              <w:jc w:val="right"/>
            </w:pPr>
            <w:r>
              <w:t xml:space="preserve">-29.5</w:t>
            </w:r>
          </w:p>
        </w:tc>
        <w:tc>
          <w:tcPr/>
          <w:p>
            <w:pPr>
              <w:pStyle w:val="Compact"/>
              <w:jc w:val="right"/>
            </w:pPr>
            <w:r>
              <w:t xml:space="preserve">1.971</w:t>
            </w:r>
          </w:p>
        </w:tc>
        <w:tc>
          <w:tcPr/>
          <w:p>
            <w:pPr>
              <w:pStyle w:val="Compact"/>
              <w:jc w:val="right"/>
            </w:pPr>
            <w:r>
              <w:t xml:space="preserve">0.581</w:t>
            </w:r>
          </w:p>
        </w:tc>
        <w:tc>
          <w:tcPr/>
          <w:p>
            <w:pPr>
              <w:pStyle w:val="Compact"/>
              <w:jc w:val="right"/>
            </w:pPr>
            <w:r>
              <w:t xml:space="preserve">3.687</w:t>
            </w:r>
          </w:p>
        </w:tc>
      </w:tr>
      <w:tr>
        <w:tc>
          <w:tcPr/>
          <w:p>
            <w:pPr>
              <w:pStyle w:val="Compact"/>
              <w:jc w:val="right"/>
            </w:pPr>
            <w:r>
              <w:t xml:space="preserve">7</w:t>
            </w:r>
          </w:p>
        </w:tc>
        <w:tc>
          <w:tcPr/>
          <w:p>
            <w:pPr>
              <w:pStyle w:val="Compact"/>
              <w:jc w:val="center"/>
            </w:pPr>
            <w:r>
              <w:t xml:space="preserve">PV008</w:t>
            </w:r>
          </w:p>
        </w:tc>
        <w:tc>
          <w:tcPr/>
          <w:p>
            <w:pPr>
              <w:pStyle w:val="Compact"/>
              <w:jc w:val="center"/>
            </w:pPr>
            <w:r>
              <w:rPr>
                <w:rFonts w:hint="eastAsia"/>
              </w:rPr>
              <w:t xml:space="preserve">热斑</w:t>
            </w:r>
          </w:p>
        </w:tc>
        <w:tc>
          <w:tcPr/>
          <w:p>
            <w:pPr>
              <w:pStyle w:val="Compact"/>
              <w:jc w:val="right"/>
            </w:pPr>
            <w:r>
              <w:t xml:space="preserve">-28.7</w:t>
            </w:r>
          </w:p>
        </w:tc>
        <w:tc>
          <w:tcPr/>
          <w:p>
            <w:pPr>
              <w:pStyle w:val="Compact"/>
              <w:jc w:val="right"/>
            </w:pPr>
            <w:r>
              <w:t xml:space="preserve">1.977</w:t>
            </w:r>
          </w:p>
        </w:tc>
        <w:tc>
          <w:tcPr/>
          <w:p>
            <w:pPr>
              <w:pStyle w:val="Compact"/>
              <w:jc w:val="right"/>
            </w:pPr>
            <w:r>
              <w:t xml:space="preserve">0.567</w:t>
            </w:r>
          </w:p>
        </w:tc>
        <w:tc>
          <w:tcPr/>
          <w:p>
            <w:pPr>
              <w:pStyle w:val="Compact"/>
              <w:jc w:val="right"/>
            </w:pPr>
            <w:r>
              <w:t xml:space="preserve">4.254</w:t>
            </w:r>
          </w:p>
        </w:tc>
      </w:tr>
      <w:tr>
        <w:tc>
          <w:tcPr/>
          <w:p>
            <w:pPr>
              <w:pStyle w:val="Compact"/>
              <w:jc w:val="right"/>
            </w:pPr>
            <w:r>
              <w:t xml:space="preserve">8</w:t>
            </w:r>
          </w:p>
        </w:tc>
        <w:tc>
          <w:tcPr/>
          <w:p>
            <w:pPr>
              <w:pStyle w:val="Compact"/>
              <w:jc w:val="center"/>
            </w:pPr>
            <w:r>
              <w:t xml:space="preserve">PV051</w:t>
            </w:r>
          </w:p>
        </w:tc>
        <w:tc>
          <w:tcPr/>
          <w:p>
            <w:pPr>
              <w:pStyle w:val="Compact"/>
              <w:jc w:val="center"/>
            </w:pPr>
            <w:r>
              <w:rPr>
                <w:rFonts w:hint="eastAsia"/>
              </w:rPr>
              <w:t xml:space="preserve">热斑</w:t>
            </w:r>
          </w:p>
        </w:tc>
        <w:tc>
          <w:tcPr/>
          <w:p>
            <w:pPr>
              <w:pStyle w:val="Compact"/>
              <w:jc w:val="right"/>
            </w:pPr>
            <w:r>
              <w:t xml:space="preserve">-26.0</w:t>
            </w:r>
          </w:p>
        </w:tc>
        <w:tc>
          <w:tcPr/>
          <w:p>
            <w:pPr>
              <w:pStyle w:val="Compact"/>
              <w:jc w:val="right"/>
            </w:pPr>
            <w:r>
              <w:t xml:space="preserve">2.101</w:t>
            </w:r>
          </w:p>
        </w:tc>
        <w:tc>
          <w:tcPr/>
          <w:p>
            <w:pPr>
              <w:pStyle w:val="Compact"/>
              <w:jc w:val="right"/>
            </w:pPr>
            <w:r>
              <w:t xml:space="preserve">0.546</w:t>
            </w:r>
          </w:p>
        </w:tc>
        <w:tc>
          <w:tcPr/>
          <w:p>
            <w:pPr>
              <w:pStyle w:val="Compact"/>
              <w:jc w:val="right"/>
            </w:pPr>
            <w:r>
              <w:t xml:space="preserve">4.800</w:t>
            </w:r>
          </w:p>
        </w:tc>
      </w:tr>
      <w:tr>
        <w:tc>
          <w:tcPr/>
          <w:p>
            <w:pPr>
              <w:pStyle w:val="Compact"/>
              <w:jc w:val="right"/>
            </w:pPr>
            <w:r>
              <w:t xml:space="preserve">9</w:t>
            </w:r>
          </w:p>
        </w:tc>
        <w:tc>
          <w:tcPr/>
          <w:p>
            <w:pPr>
              <w:pStyle w:val="Compact"/>
              <w:jc w:val="center"/>
            </w:pPr>
            <w:r>
              <w:t xml:space="preserve">PV029</w:t>
            </w:r>
          </w:p>
        </w:tc>
        <w:tc>
          <w:tcPr/>
          <w:p>
            <w:pPr>
              <w:pStyle w:val="Compact"/>
              <w:jc w:val="center"/>
            </w:pPr>
            <w:r>
              <w:rPr>
                <w:rFonts w:hint="eastAsia"/>
              </w:rPr>
              <w:t xml:space="preserve">热斑</w:t>
            </w:r>
          </w:p>
        </w:tc>
        <w:tc>
          <w:tcPr/>
          <w:p>
            <w:pPr>
              <w:pStyle w:val="Compact"/>
              <w:jc w:val="right"/>
            </w:pPr>
            <w:r>
              <w:t xml:space="preserve">-24.7</w:t>
            </w:r>
          </w:p>
        </w:tc>
        <w:tc>
          <w:tcPr/>
          <w:p>
            <w:pPr>
              <w:pStyle w:val="Compact"/>
              <w:jc w:val="right"/>
            </w:pPr>
            <w:r>
              <w:t xml:space="preserve">2.068</w:t>
            </w:r>
          </w:p>
        </w:tc>
        <w:tc>
          <w:tcPr/>
          <w:p>
            <w:pPr>
              <w:pStyle w:val="Compact"/>
              <w:jc w:val="right"/>
            </w:pPr>
            <w:r>
              <w:t xml:space="preserve">0.511</w:t>
            </w:r>
          </w:p>
        </w:tc>
        <w:tc>
          <w:tcPr/>
          <w:p>
            <w:pPr>
              <w:pStyle w:val="Compact"/>
              <w:jc w:val="right"/>
            </w:pPr>
            <w:r>
              <w:t xml:space="preserve">5.311</w:t>
            </w:r>
          </w:p>
        </w:tc>
      </w:tr>
      <w:tr>
        <w:tc>
          <w:tcPr/>
          <w:p>
            <w:pPr>
              <w:pStyle w:val="Compact"/>
              <w:jc w:val="right"/>
            </w:pPr>
            <w:r>
              <w:t xml:space="preserve">10</w:t>
            </w:r>
          </w:p>
        </w:tc>
        <w:tc>
          <w:tcPr/>
          <w:p>
            <w:pPr>
              <w:pStyle w:val="Compact"/>
              <w:jc w:val="center"/>
            </w:pPr>
            <w:r>
              <w:t xml:space="preserve">PV009</w:t>
            </w:r>
          </w:p>
        </w:tc>
        <w:tc>
          <w:tcPr/>
          <w:p>
            <w:pPr>
              <w:pStyle w:val="Compact"/>
              <w:jc w:val="center"/>
            </w:pPr>
            <w:r>
              <w:rPr>
                <w:rFonts w:hint="eastAsia"/>
              </w:rPr>
              <w:t xml:space="preserve">热斑</w:t>
            </w:r>
          </w:p>
        </w:tc>
        <w:tc>
          <w:tcPr/>
          <w:p>
            <w:pPr>
              <w:pStyle w:val="Compact"/>
              <w:jc w:val="right"/>
            </w:pPr>
            <w:r>
              <w:t xml:space="preserve">-23.7</w:t>
            </w:r>
          </w:p>
        </w:tc>
        <w:tc>
          <w:tcPr/>
          <w:p>
            <w:pPr>
              <w:pStyle w:val="Compact"/>
              <w:jc w:val="right"/>
            </w:pPr>
            <w:r>
              <w:t xml:space="preserve">1.985</w:t>
            </w:r>
          </w:p>
        </w:tc>
        <w:tc>
          <w:tcPr/>
          <w:p>
            <w:pPr>
              <w:pStyle w:val="Compact"/>
              <w:jc w:val="right"/>
            </w:pPr>
            <w:r>
              <w:t xml:space="preserve">0.470</w:t>
            </w:r>
          </w:p>
        </w:tc>
        <w:tc>
          <w:tcPr/>
          <w:p>
            <w:pPr>
              <w:pStyle w:val="Compact"/>
              <w:jc w:val="right"/>
            </w:pPr>
            <w:r>
              <w:t xml:space="preserve">5.781</w:t>
            </w:r>
          </w:p>
        </w:tc>
      </w:tr>
    </w:tbl>
    <w:p>
      <w:pPr>
        <w:pStyle w:val="BodyText"/>
      </w:pPr>
      <w:r>
        <w:rPr>
          <w:rFonts w:hint="eastAsia"/>
        </w:rPr>
        <w:t xml:space="preserve">排序结果如图3所示：全部30块故障组件按损失排序，并标出前10名和第10/11名截止点。第10名PV009的中心损失为0.470</w:t>
      </w:r>
      <w:r>
        <w:t xml:space="preserve"> </w:t>
      </w:r>
      <w:r>
        <w:rPr>
          <w:rFonts w:hint="eastAsia"/>
        </w:rPr>
        <w:t xml:space="preserve">kWh/day，第11名PV070为0.450</w:t>
      </w:r>
      <w:r>
        <w:t xml:space="preserve"> </w:t>
      </w:r>
      <w:r>
        <w:rPr>
          <w:rFonts w:hint="eastAsia"/>
        </w:rPr>
        <w:t xml:space="preserve">kWh/day。考虑给定偏差率的显示精度，在偏差率上下各扰动0.05个百分点后，二者的损失区间分别为[0.469,</w:t>
      </w:r>
      <w:r>
        <w:t xml:space="preserve"> </w:t>
      </w:r>
      <w:r>
        <w:rPr>
          <w:rFonts w:hint="eastAsia"/>
        </w:rPr>
        <w:t xml:space="preserve">0.472]和[0.449,</w:t>
      </w:r>
      <w:r>
        <w:t xml:space="preserve"> 0.452] </w:t>
      </w:r>
      <w:r>
        <w:rPr>
          <w:rFonts w:hint="eastAsia"/>
        </w:rPr>
        <w:t xml:space="preserve">kWh/day，区间不重叠，因此主名单不会因该显示精度引起的截止点交换而改变。</w:t>
      </w:r>
    </w:p>
    <w:p>
      <w:pPr>
        <w:pStyle w:val="BodyText"/>
      </w:pPr>
      <w:r>
        <w:drawing>
          <wp:inline>
            <wp:extent cx="5013960" cy="5690559"/>
            <wp:effectExtent b="0" l="0" r="0" t="0"/>
            <wp:docPr descr="" title="" id="33" name="Picture"/>
            <a:graphic>
              <a:graphicData uri="http://schemas.openxmlformats.org/drawingml/2006/picture">
                <pic:pic>
                  <pic:nvPicPr>
                    <pic:cNvPr descr="figures/evidence_task3_repair_ranking.png" id="34" name="Picture"/>
                    <pic:cNvPicPr>
                      <a:picLocks noChangeArrowheads="1" noChangeAspect="1"/>
                    </pic:cNvPicPr>
                  </pic:nvPicPr>
                  <pic:blipFill>
                    <a:blip r:embed="rId32"/>
                    <a:stretch>
                      <a:fillRect/>
                    </a:stretch>
                  </pic:blipFill>
                  <pic:spPr bwMode="auto">
                    <a:xfrm>
                      <a:off x="0" y="0"/>
                      <a:ext cx="5013960" cy="5690559"/>
                    </a:xfrm>
                    <a:prstGeom prst="rect">
                      <a:avLst/>
                    </a:prstGeom>
                    <a:noFill/>
                    <a:ln w="9525">
                      <a:noFill/>
                      <a:headEnd/>
                      <a:tailEnd/>
                    </a:ln>
                  </pic:spPr>
                </pic:pic>
              </a:graphicData>
            </a:graphic>
          </wp:inline>
        </w:drawing>
      </w:r>
    </w:p>
    <w:p>
      <w:pPr>
        <w:pStyle w:val="BodyText"/>
      </w:pPr>
      <w:r>
        <w:rPr>
          <w:rFonts w:hint="eastAsia"/>
          <w:i/>
          <w:iCs/>
        </w:rPr>
        <w:t xml:space="preserve">图3</w:t>
      </w:r>
      <w:r>
        <w:rPr>
          <w:i/>
          <w:iCs/>
        </w:rPr>
        <w:t xml:space="preserve"> </w:t>
      </w:r>
      <w:r>
        <w:rPr>
          <w:rFonts w:hint="eastAsia"/>
          <w:i/>
          <w:iCs/>
        </w:rPr>
        <w:t xml:space="preserve">30块故障组件的15日历史平均每日可恢复损失。蓝色为前10名，虚线为维修预算截止位置，误差线表示偏差率显示精度导致的损失端点范围。</w:t>
      </w:r>
    </w:p>
    <w:bookmarkEnd w:id="35"/>
    <w:bookmarkStart w:id="36" w:name="历史口径的全站提升"/>
    <w:p>
      <w:pPr>
        <w:pStyle w:val="Heading3"/>
      </w:pPr>
      <w:r>
        <w:t xml:space="preserve">5.4 </w:t>
      </w:r>
      <w:r>
        <w:rPr>
          <w:rFonts w:hint="eastAsia"/>
        </w:rPr>
        <w:t xml:space="preserve">历史口径的全站提升</w:t>
      </w:r>
    </w:p>
    <w:p>
      <w:pPr>
        <w:pStyle w:val="FirstParagraph"/>
      </w:pPr>
      <w:r>
        <w:rPr>
          <w:rFonts w:hint="eastAsia"/>
        </w:rPr>
        <w:t xml:space="preserve">前10块组件的历史平均每日增发量就是其损失之和</w:t>
      </w:r>
    </w:p>
    <w:p>
      <w:pPr>
        <w:pStyle w:val="BodyText"/>
      </w:pPr>
      <m:oMathPara>
        <m:oMathParaPr>
          <m:jc m:val="center"/>
        </m:oMathParaPr>
        <m:oMath>
          <m:sSub>
            <m:e>
              <m:r>
                <m:t>G</m:t>
              </m:r>
            </m:e>
            <m:sub>
              <m:r>
                <m:rPr>
                  <m:sty m:val="p"/>
                </m:rPr>
                <m:t>h</m:t>
              </m:r>
              <m:r>
                <m:rPr>
                  <m:sty m:val="p"/>
                </m:rPr>
                <m:t>i</m:t>
              </m:r>
              <m:r>
                <m:rPr>
                  <m:sty m:val="p"/>
                </m:rPr>
                <m:t>s</m:t>
              </m:r>
              <m:r>
                <m:rPr>
                  <m:sty m:val="p"/>
                </m:rPr>
                <m:t>t</m:t>
              </m:r>
            </m:sub>
          </m:sSub>
          <m:r>
            <m:rPr>
              <m:sty m:val="p"/>
            </m:rPr>
            <m:t>=</m:t>
          </m:r>
          <m:nary>
            <m:naryPr>
              <m:chr m:val="∑"/>
              <m:limLoc m:val="undOvr"/>
              <m:subHide m:val="off"/>
              <m:supHide m:val="on"/>
            </m:naryPr>
            <m:sub>
              <m:r>
                <m:t>i</m:t>
              </m:r>
              <m:r>
                <m:rPr>
                  <m:sty m:val="p"/>
                </m:rPr>
                <m:t>∈</m:t>
              </m:r>
              <m:sSub>
                <m:e>
                  <m:r>
                    <m:t>S</m:t>
                  </m:r>
                </m:e>
                <m:sub>
                  <m:r>
                    <m:t>10</m:t>
                  </m:r>
                </m:sub>
              </m:sSub>
            </m:sub>
            <m:sup>
              <m:r>
                <m:t>​</m:t>
              </m:r>
            </m:sup>
            <m:e>
              <m:sSub>
                <m:e>
                  <m:r>
                    <m:t>L</m:t>
                  </m:r>
                </m:e>
                <m:sub>
                  <m:r>
                    <m:t>i</m:t>
                  </m:r>
                </m:sub>
              </m:sSub>
            </m:e>
          </m:nary>
          <m:r>
            <m:rPr>
              <m:sty m:val="p"/>
            </m:rPr>
            <m:t>≈</m:t>
          </m:r>
          <m:r>
            <m:t>5.781</m:t>
          </m:r>
          <m:r>
            <m:rPr>
              <m:sty m:val="p"/>
            </m:rPr>
            <m:t>.</m:t>
          </m:r>
        </m:oMath>
      </m:oMathPara>
    </w:p>
    <w:p>
      <w:pPr>
        <w:pStyle w:val="FirstParagraph"/>
      </w:pPr>
      <w:r>
        <w:rPr>
          <w:rFonts w:hint="eastAsia"/>
        </w:rPr>
        <w:t xml:space="preserve">当前全站15日平均发电量为194.736</w:t>
      </w:r>
      <w:r>
        <w:t xml:space="preserve"> </w:t>
      </w:r>
      <w:r>
        <w:rPr>
          <w:rFonts w:hint="eastAsia"/>
        </w:rPr>
        <w:t xml:space="preserve">kWh/day，在完全恢复且收益可加的反事实下，修复后全站平均发电量为</w:t>
      </w:r>
    </w:p>
    <w:p>
      <w:pPr>
        <w:pStyle w:val="BodyText"/>
      </w:pPr>
      <m:oMathPara>
        <m:oMathParaPr>
          <m:jc m:val="center"/>
        </m:oMathParaPr>
        <m:oMath>
          <m:sSub>
            <m:e>
              <m:acc>
                <m:accPr>
                  <m:chr m:val="‾"/>
                </m:accPr>
                <m:e>
                  <m:r>
                    <m:t>Y</m:t>
                  </m:r>
                </m:e>
              </m:acc>
            </m:e>
            <m:sub>
              <m:r>
                <m:rPr>
                  <m:sty m:val="p"/>
                </m:rPr>
                <m:t>p</m:t>
              </m:r>
              <m:r>
                <m:rPr>
                  <m:sty m:val="p"/>
                </m:rPr>
                <m:t>o</m:t>
              </m:r>
              <m:r>
                <m:rPr>
                  <m:sty m:val="p"/>
                </m:rPr>
                <m:t>s</m:t>
              </m:r>
              <m:r>
                <m:rPr>
                  <m:sty m:val="p"/>
                </m:rPr>
                <m:t>t</m:t>
              </m:r>
            </m:sub>
          </m:sSub>
          <m:r>
            <m:rPr>
              <m:sty m:val="p"/>
            </m:rPr>
            <m:t>≈</m:t>
          </m:r>
          <m:r>
            <m:t>194.736</m:t>
          </m:r>
          <m:r>
            <m:rPr>
              <m:sty m:val="p"/>
            </m:rPr>
            <m:t>+</m:t>
          </m:r>
          <m:r>
            <m:t>5.781</m:t>
          </m:r>
          <m:r>
            <m:rPr>
              <m:sty m:val="p"/>
            </m:rPr>
            <m:t>≈</m:t>
          </m:r>
          <m:r>
            <m:t>200.517</m:t>
          </m:r>
          <m:r>
            <m:rPr>
              <m:sty m:val="p"/>
            </m:rPr>
            <m:t>.</m:t>
          </m:r>
        </m:oMath>
      </m:oMathPara>
    </w:p>
    <w:p>
      <w:pPr>
        <w:pStyle w:val="FirstParagraph"/>
      </w:pPr>
      <w:r>
        <w:rPr>
          <w:rFonts w:hint="eastAsia"/>
        </w:rPr>
        <w:t xml:space="preserve">相对提升率为</w:t>
      </w:r>
    </w:p>
    <w:p>
      <w:pPr>
        <w:pStyle w:val="BodyText"/>
      </w:pPr>
      <m:oMathPara>
        <m:oMathParaPr>
          <m:jc m:val="center"/>
        </m:oMathParaPr>
        <m:oMath>
          <m:f>
            <m:fPr>
              <m:type m:val="bar"/>
            </m:fPr>
            <m:num>
              <m:r>
                <m:t>5.781</m:t>
              </m:r>
            </m:num>
            <m:den>
              <m:r>
                <m:t>194.736</m:t>
              </m:r>
            </m:den>
          </m:f>
          <m:r>
            <m:rPr>
              <m:sty m:val="p"/>
            </m:rPr>
            <m:t>×</m:t>
          </m:r>
          <m:r>
            <m:t>100</m:t>
          </m:r>
          <m:r>
            <m:rPr>
              <m:sty m:val="p"/>
            </m:rPr>
            <m:t>%</m:t>
          </m:r>
          <m:r>
            <m:rPr>
              <m:sty m:val="p"/>
            </m:rPr>
            <m:t>≈</m:t>
          </m:r>
          <m:r>
            <m:t>2.969</m:t>
          </m:r>
          <m:r>
            <m:rPr>
              <m:sty m:val="p"/>
            </m:rPr>
            <m:t>%</m:t>
          </m:r>
          <m:r>
            <m:rPr>
              <m:sty m:val="p"/>
            </m:rPr>
            <m:t>.</m:t>
          </m:r>
        </m:oMath>
      </m:oMathPara>
    </w:p>
    <w:p>
      <w:pPr>
        <w:pStyle w:val="FirstParagraph"/>
      </w:pPr>
      <w:r>
        <w:rPr>
          <w:rFonts w:hint="eastAsia"/>
        </w:rPr>
        <w:t xml:space="preserve">式（14）—（16）是基于题目定义的正常反事实和可加性假设的历史估计，不是对维修后实际输出的观测，也不包含维修有效率、停机时间、组串耦合或逆变器限发造成的偏差。</w:t>
      </w:r>
    </w:p>
    <w:bookmarkEnd w:id="36"/>
    <w:bookmarkStart w:id="37" w:name="第16日条件下的补充增发量"/>
    <w:p>
      <w:pPr>
        <w:pStyle w:val="Heading3"/>
      </w:pPr>
      <w:r>
        <w:t xml:space="preserve">5.5 </w:t>
      </w:r>
      <w:r>
        <w:rPr>
          <w:rFonts w:hint="eastAsia"/>
        </w:rPr>
        <w:t xml:space="preserve">第16日条件下的补充增发量</w:t>
      </w:r>
    </w:p>
    <w:p>
      <w:pPr>
        <w:pStyle w:val="FirstParagraph"/>
      </w:pPr>
      <w:r>
        <w:rPr>
          <w:rFonts w:hint="eastAsia"/>
        </w:rPr>
        <w:t xml:space="preserve">第16日增发量用于描述已确定的前10维修集合在新天气条件下的补充结果，不改变式（12）的历史排序。令任务二的第16日点预测为</w:t>
      </w:r>
      <m:oMath>
        <m:sSub>
          <m:e>
            <m:acc>
              <m:accPr>
                <m:chr m:val="̂"/>
              </m:accPr>
              <m:e>
                <m:r>
                  <m:t>Y</m:t>
                </m:r>
              </m:e>
            </m:acc>
          </m:e>
          <m:sub>
            <m:r>
              <m:t>16</m:t>
            </m:r>
          </m:sub>
        </m:sSub>
      </m:oMath>
      <w:r>
        <w:rPr>
          <w:rFonts w:hint="eastAsia"/>
        </w:rPr>
        <w:t xml:space="preserve">，历史全站平均为</w:t>
      </w:r>
      <m:oMath>
        <m:acc>
          <m:accPr>
            <m:chr m:val="‾"/>
          </m:accPr>
          <m:e>
            <m:r>
              <m:t>Y</m:t>
            </m:r>
          </m:e>
        </m:acc>
      </m:oMath>
      <w:r>
        <w:rPr>
          <w:rFonts w:hint="eastAsia"/>
        </w:rPr>
        <w:t xml:space="preserve">，固定比例为</w:t>
      </w:r>
    </w:p>
    <w:p>
      <w:pPr>
        <w:pStyle w:val="BodyText"/>
      </w:pPr>
      <m:oMathPara>
        <m:oMathParaPr>
          <m:jc m:val="center"/>
        </m:oMathParaPr>
        <m:oMath>
          <m:sSub>
            <m:e>
              <m:r>
                <m:t>s</m:t>
              </m:r>
            </m:e>
            <m:sub>
              <m:r>
                <m:t>16</m:t>
              </m:r>
            </m:sub>
          </m:sSub>
          <m:r>
            <m:rPr>
              <m:sty m:val="p"/>
            </m:rPr>
            <m:t>=</m:t>
          </m:r>
          <m:f>
            <m:fPr>
              <m:type m:val="bar"/>
            </m:fPr>
            <m:num>
              <m:sSub>
                <m:e>
                  <m:acc>
                    <m:accPr>
                      <m:chr m:val="̂"/>
                    </m:accPr>
                    <m:e>
                      <m:r>
                        <m:t>Y</m:t>
                      </m:r>
                    </m:e>
                  </m:acc>
                </m:e>
                <m:sub>
                  <m:r>
                    <m:t>16</m:t>
                  </m:r>
                </m:sub>
              </m:sSub>
            </m:num>
            <m:den>
              <m:acc>
                <m:accPr>
                  <m:chr m:val="‾"/>
                </m:accPr>
                <m:e>
                  <m:r>
                    <m:t>Y</m:t>
                  </m:r>
                </m:e>
              </m:acc>
            </m:den>
          </m:f>
          <m:r>
            <m:rPr>
              <m:sty m:val="p"/>
            </m:rPr>
            <m:t>.</m:t>
          </m:r>
        </m:oMath>
      </m:oMathPara>
    </w:p>
    <w:p>
      <w:pPr>
        <w:pStyle w:val="FirstParagraph"/>
      </w:pPr>
      <w:r>
        <w:rPr>
          <w:rFonts w:hint="eastAsia"/>
        </w:rPr>
        <w:t xml:space="preserve">则在比例关系保持不变的条件下，前10集合的第16日补充增发量为</w:t>
      </w:r>
    </w:p>
    <w:p>
      <w:pPr>
        <w:pStyle w:val="BodyText"/>
      </w:pPr>
      <m:oMathPara>
        <m:oMathParaPr>
          <m:jc m:val="center"/>
        </m:oMathParaPr>
        <m:oMath>
          <m:sSub>
            <m:e>
              <m:r>
                <m:t>G</m:t>
              </m:r>
            </m:e>
            <m:sub>
              <m:r>
                <m:t>16</m:t>
              </m:r>
            </m:sub>
          </m:sSub>
          <m:r>
            <m:rPr>
              <m:sty m:val="p"/>
            </m:rPr>
            <m:t>=</m:t>
          </m:r>
          <m:sSub>
            <m:e>
              <m:r>
                <m:t>G</m:t>
              </m:r>
            </m:e>
            <m:sub>
              <m:r>
                <m:rPr>
                  <m:sty m:val="p"/>
                </m:rPr>
                <m:t>h</m:t>
              </m:r>
              <m:r>
                <m:rPr>
                  <m:sty m:val="p"/>
                </m:rPr>
                <m:t>i</m:t>
              </m:r>
              <m:r>
                <m:rPr>
                  <m:sty m:val="p"/>
                </m:rPr>
                <m:t>s</m:t>
              </m:r>
              <m:r>
                <m:rPr>
                  <m:sty m:val="p"/>
                </m:rPr>
                <m:t>t</m:t>
              </m:r>
            </m:sub>
          </m:sSub>
          <m:sSub>
            <m:e>
              <m:r>
                <m:t>s</m:t>
              </m:r>
            </m:e>
            <m:sub>
              <m:r>
                <m:t>16</m:t>
              </m:r>
            </m:sub>
          </m:sSub>
          <m:r>
            <m:rPr>
              <m:sty m:val="p"/>
            </m:rPr>
            <m:t>=</m:t>
          </m:r>
          <m:sSub>
            <m:e>
              <m:r>
                <m:t>G</m:t>
              </m:r>
            </m:e>
            <m:sub>
              <m:r>
                <m:rPr>
                  <m:sty m:val="p"/>
                </m:rPr>
                <m:t>h</m:t>
              </m:r>
              <m:r>
                <m:rPr>
                  <m:sty m:val="p"/>
                </m:rPr>
                <m:t>i</m:t>
              </m:r>
              <m:r>
                <m:rPr>
                  <m:sty m:val="p"/>
                </m:rPr>
                <m:t>s</m:t>
              </m:r>
              <m:r>
                <m:rPr>
                  <m:sty m:val="p"/>
                </m:rPr>
                <m:t>t</m:t>
              </m:r>
            </m:sub>
          </m:sSub>
          <m:f>
            <m:fPr>
              <m:type m:val="bar"/>
            </m:fPr>
            <m:num>
              <m:sSub>
                <m:e>
                  <m:acc>
                    <m:accPr>
                      <m:chr m:val="̂"/>
                    </m:accPr>
                    <m:e>
                      <m:r>
                        <m:t>Y</m:t>
                      </m:r>
                    </m:e>
                  </m:acc>
                </m:e>
                <m:sub>
                  <m:r>
                    <m:t>16</m:t>
                  </m:r>
                </m:sub>
              </m:sSub>
            </m:num>
            <m:den>
              <m:acc>
                <m:accPr>
                  <m:chr m:val="‾"/>
                </m:accPr>
                <m:e>
                  <m:r>
                    <m:t>Y</m:t>
                  </m:r>
                </m:e>
              </m:acc>
            </m:den>
          </m:f>
          <m:r>
            <m:rPr>
              <m:sty m:val="p"/>
            </m:rPr>
            <m:t>≈</m:t>
          </m:r>
          <m:r>
            <m:t>7.608</m:t>
          </m:r>
          <m:r>
            <m:rPr>
              <m:sty m:val="p"/>
            </m:rPr>
            <m:t>.</m:t>
          </m:r>
        </m:oMath>
      </m:oMathPara>
    </w:p>
    <w:p>
      <w:pPr>
        <w:pStyle w:val="FirstParagraph"/>
      </w:pPr>
      <w:r>
        <w:rPr>
          <w:rFonts w:hint="eastAsia"/>
        </w:rPr>
        <w:t xml:space="preserve">区间也使用同一个固定比例缩放：将任务二期望值置信区间的两个端点分别乘以</w:t>
      </w:r>
      <m:oMath>
        <m:sSub>
          <m:e>
            <m:r>
              <m:t>G</m:t>
            </m:r>
          </m:e>
          <m:sub>
            <m:r>
              <m:rPr>
                <m:sty m:val="p"/>
              </m:rPr>
              <m:t>h</m:t>
            </m:r>
            <m:r>
              <m:rPr>
                <m:sty m:val="p"/>
              </m:rPr>
              <m:t>i</m:t>
            </m:r>
            <m:r>
              <m:rPr>
                <m:sty m:val="p"/>
              </m:rPr>
              <m:t>s</m:t>
            </m:r>
            <m:r>
              <m:rPr>
                <m:sty m:val="p"/>
              </m:rPr>
              <m:t>t</m:t>
            </m:r>
          </m:sub>
        </m:sSub>
        <m:r>
          <m:rPr>
            <m:sty m:val="p"/>
          </m:rPr>
          <m:t>/</m:t>
        </m:r>
        <m:acc>
          <m:accPr>
            <m:chr m:val="‾"/>
          </m:accPr>
          <m:e>
            <m:r>
              <m:t>Y</m:t>
            </m:r>
          </m:e>
        </m:acc>
      </m:oMath>
      <w:r>
        <w:rPr>
          <w:rFonts w:hint="eastAsia"/>
        </w:rPr>
        <w:t xml:space="preserve">，得到补充增发量的条件95%区间[7.602,</w:t>
      </w:r>
      <w:r>
        <w:t xml:space="preserve"> 7.613] </w:t>
      </w:r>
      <w:r>
        <w:rPr>
          <w:rFonts w:hint="eastAsia"/>
        </w:rPr>
        <w:t xml:space="preserve">kWh；将任务二单日预测区间以同样比例缩放，得到[7.590,</w:t>
      </w:r>
      <w:r>
        <w:t xml:space="preserve"> 7.625] </w:t>
      </w:r>
      <w:r>
        <w:rPr>
          <w:rFonts w:hint="eastAsia"/>
        </w:rPr>
        <w:t xml:space="preserve">kWh。这样传播的只是任务二的站级参数不确定性和条件日级残差波动；维修名单、历史损失和比例关系均保持不变，偏差率舍入、正常反事实误差、维修有效率、组串耦合、加性假设、模型选择和第16日气象预报输入误差均未传播到式（17）。</w:t>
      </w:r>
    </w:p>
    <w:bookmarkEnd w:id="37"/>
    <w:bookmarkEnd w:id="38"/>
    <w:bookmarkStart w:id="41" w:name="六模型评价与适用边界"/>
    <w:p>
      <w:pPr>
        <w:pStyle w:val="Heading2"/>
      </w:pPr>
      <w:r>
        <w:rPr>
          <w:rFonts w:hint="eastAsia"/>
        </w:rPr>
        <w:t xml:space="preserve">六、模型评价与适用边界</w:t>
      </w:r>
    </w:p>
    <w:bookmarkStart w:id="39" w:name="模型优点"/>
    <w:p>
      <w:pPr>
        <w:pStyle w:val="Heading3"/>
      </w:pPr>
      <w:r>
        <w:t xml:space="preserve">6.1 </w:t>
      </w:r>
      <w:r>
        <w:rPr>
          <w:rFonts w:hint="eastAsia"/>
        </w:rPr>
        <w:t xml:space="preserve">模型优点</w:t>
      </w:r>
    </w:p>
    <w:p>
      <w:pPr>
        <w:pStyle w:val="FirstParagraph"/>
      </w:pPr>
      <w:r>
        <w:rPr>
          <w:rFonts w:hint="eastAsia"/>
        </w:rPr>
        <w:t xml:space="preserve">第一，任务一的主诊断直接使用题目规定的偏差率阈值，分类逻辑透明，且将时间波动信息放在不覆盖主分类的辅助筛查中。第二，任务二把组件数据先聚合为站级日总量，以日为独立样本进行候选比较，避免由组件重复观测造成虚假的样本量；M0的选择同时考虑了留出误差、参数资格和简约性。第三，任务三把偏差率定义代数反演为可恢复损失，并用交换论证说明了前10排序在明确条件下的最优性，因而不需要引入与题目数据不匹配的复杂组合算法。</w:t>
      </w:r>
    </w:p>
    <w:bookmarkEnd w:id="39"/>
    <w:bookmarkStart w:id="40" w:name="局限与可推广条件"/>
    <w:p>
      <w:pPr>
        <w:pStyle w:val="Heading3"/>
      </w:pPr>
      <w:r>
        <w:t xml:space="preserve">6.2 </w:t>
      </w:r>
      <w:r>
        <w:rPr>
          <w:rFonts w:hint="eastAsia"/>
        </w:rPr>
        <w:t xml:space="preserve">局限与可推广条件</w:t>
      </w:r>
    </w:p>
    <w:p>
      <w:pPr>
        <w:pStyle w:val="FirstParagraph"/>
      </w:pPr>
      <w:r>
        <w:rPr>
          <w:rFonts w:hint="eastAsia"/>
        </w:rPr>
        <w:t xml:space="preserve">（1）主诊断依据的是统计偏差率，不等同于红外、I–V或电致发光检测得到的物理确诊；遮挡筛查也可能混入传感器异常。组串、方位角、倾角和投运年限在当前布局中存在结构性混杂，分布差异不能直接解释为这些因素的因果作用。</w:t>
      </w:r>
    </w:p>
    <w:p>
      <w:pPr>
        <w:pStyle w:val="BodyText"/>
      </w:pPr>
      <w:r>
        <w:rPr>
          <w:rFonts w:hint="eastAsia"/>
        </w:rPr>
        <w:t xml:space="preserve">（2）任务二只有15个历史日，且第16日预测依赖气象预报和故障状态在短期内保持可比。区间反映的是给定输入、选定M0和当前残差结构下的条件不确定性，不能据此宣称精确95%覆盖率或对更长时间范围作无条件外推。</w:t>
      </w:r>
    </w:p>
    <w:p>
      <w:pPr>
        <w:pStyle w:val="BodyText"/>
      </w:pPr>
      <w:r>
        <w:rPr>
          <w:rFonts w:hint="eastAsia"/>
        </w:rPr>
        <w:t xml:space="preserve">（3）任务三的收益估计假定维修可以完全恢复题目定义的正常反事实，且各组件收益可加。若实际存在部分修复、不同维修成本、维修停机、串联失配、逆变器限发或共享约束，当前的损失排序和增发量解释需要重新评估。尤其是第16日补充增发量只是固定比例缩放的条件估计，不是实测维修效果。</w:t>
      </w:r>
    </w:p>
    <w:bookmarkEnd w:id="40"/>
    <w:bookmarkEnd w:id="41"/>
    <w:bookmarkStart w:id="42" w:name="七结论"/>
    <w:p>
      <w:pPr>
        <w:pStyle w:val="Heading2"/>
      </w:pPr>
      <w:r>
        <w:rPr>
          <w:rFonts w:hint="eastAsia"/>
        </w:rPr>
        <w:t xml:space="preserve">七、结论</w:t>
      </w:r>
    </w:p>
    <w:p>
      <w:pPr>
        <w:pStyle w:val="FirstParagraph"/>
      </w:pPr>
      <w:r>
        <w:rPr>
          <w:rFonts w:hint="eastAsia"/>
        </w:rPr>
        <w:t xml:space="preserve">（1）按题目偏差率阈值，100块组件中正常70块、隐裂15块、热斑15块，没有超出三分类定义域的记录。时间波动筛查只作为现场复核提示，不覆盖主诊断。</w:t>
      </w:r>
    </w:p>
    <w:p>
      <w:pPr>
        <w:pStyle w:val="BodyText"/>
      </w:pPr>
      <w:r>
        <w:rPr>
          <w:rFonts w:hint="eastAsia"/>
        </w:rPr>
        <w:t xml:space="preserve">（2）以站级日总发电量为目标并进行逐日留一比较后，选择M0辐照度比例模型。该模型给出的第16日当前运行状态点预测为256.247</w:t>
      </w:r>
      <w:r>
        <w:t xml:space="preserve"> </w:t>
      </w:r>
      <w:r>
        <w:rPr>
          <w:rFonts w:hint="eastAsia"/>
        </w:rPr>
        <w:t xml:space="preserve">kWh，条件95%期望值置信区间为[256.058,</w:t>
      </w:r>
      <w:r>
        <w:t xml:space="preserve"> 256.436] </w:t>
      </w:r>
      <w:r>
        <w:rPr>
          <w:rFonts w:hint="eastAsia"/>
        </w:rPr>
        <w:t xml:space="preserve">kWh，条件95%单日预测区间为[255.655,</w:t>
      </w:r>
      <w:r>
        <w:t xml:space="preserve"> 256.839] kWh。</w:t>
      </w:r>
    </w:p>
    <w:p>
      <w:pPr>
        <w:pStyle w:val="BodyText"/>
      </w:pPr>
      <w:r>
        <w:rPr>
          <w:rFonts w:hint="eastAsia"/>
        </w:rPr>
        <w:t xml:space="preserve">（3）在等预算、独立可加和完全恢复的反事实下，优先维修PV084、PV044、PV071、PV060、PV076、PV010、PV008、PV051、PV029和PV009。该集合的历史平均每日可恢复损失为5.781</w:t>
      </w:r>
      <w:r>
        <w:t xml:space="preserve"> </w:t>
      </w:r>
      <w:r>
        <w:rPr>
          <w:rFonts w:hint="eastAsia"/>
        </w:rPr>
        <w:t xml:space="preserve">kWh，对应反事实相对提升率为2.969%；按同一固定比例映射到第16日的条件性补充增发量为7.608</w:t>
      </w:r>
      <w:r>
        <w:t xml:space="preserve"> </w:t>
      </w:r>
      <w:r>
        <w:rPr>
          <w:rFonts w:hint="eastAsia"/>
        </w:rPr>
        <w:t xml:space="preserve">kWh。该补充量不改变历史主排序，也不代表实际维修后的保证收益。</w:t>
      </w:r>
    </w:p>
    <w:bookmarkEnd w:id="42"/>
    <w:bookmarkStart w:id="43" w:name="参考文献"/>
    <w:p>
      <w:pPr>
        <w:pStyle w:val="Heading2"/>
      </w:pPr>
      <w:r>
        <w:rPr>
          <w:rFonts w:hint="eastAsia"/>
        </w:rPr>
        <w:t xml:space="preserve">参考文献</w:t>
      </w:r>
    </w:p>
    <w:p>
      <w:pPr>
        <w:pStyle w:val="FirstParagraph"/>
      </w:pPr>
      <w:r>
        <w:t xml:space="preserve">[1] </w:t>
      </w:r>
      <w:r>
        <w:rPr>
          <w:rFonts w:hint="eastAsia"/>
        </w:rPr>
        <w:t xml:space="preserve">题目组.</w:t>
      </w:r>
      <w:r>
        <w:t xml:space="preserve"> </w:t>
      </w:r>
      <w:r>
        <w:rPr>
          <w:rFonts w:hint="eastAsia"/>
        </w:rPr>
        <w:t xml:space="preserve">C题：某分布式光伏电站组件故障诊断与发电量预测及配套数据[数据集].</w:t>
      </w:r>
      <w:r>
        <w:t xml:space="preserve"> </w:t>
      </w:r>
      <w:r>
        <w:rPr>
          <w:rFonts w:hint="eastAsia"/>
        </w:rPr>
        <w:t xml:space="preserve">2026年夏季数学建模练习题，2026.</w:t>
      </w:r>
    </w:p>
    <w:p>
      <w:pPr>
        <w:pStyle w:val="BodyText"/>
      </w:pPr>
      <w:r>
        <w:t xml:space="preserve">[2] MacKinnon J G, White H. Some heteroskedasticity-consistent covariance matrix estimators with improved finite sample properties[J]. Journal of Econometrics, 1985, 29(3): 305-325. DOI: 10.1016/0304-4076(85)90158-7.</w:t>
      </w:r>
    </w:p>
    <w:p>
      <w:pPr>
        <w:pStyle w:val="BodyText"/>
      </w:pPr>
      <w:r>
        <w:t xml:space="preserve">[3] Efron B. Bootstrap methods: Another look at the jackknife[J]. The Annals of Statistics, 1979, 7(1): 1-26. DOI: 10.1214/aos/1176344552.</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font w:name="zh-CN"/>
  <w:font w:name="宋体"/>
  <w:font w:name="黑体"/>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eastAsia="宋体" w:cs="Times New Roman"/>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color w:val="00000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eastAsia="宋体" w:cs="Times New Roman"/>
      <w:sz w:val="56"/>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ascii="Times New Roman" w:hAnsi="Times New Roman" w:eastAsia="黑体" w:cs="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ascii="Times New Roman" w:hAnsi="Times New Roman" w:eastAsia="黑体" w:cs="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ascii="Times New Roman" w:hAnsi="Times New Roman" w:eastAsia="宋体" w:cs="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Times New Roman" w:hAnsi="Times New Roman" w:eastAsia="宋体" w:cs="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24" Type="http://schemas.openxmlformats.org/officeDocument/2006/relationships/image" Target="media/rId24.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宋体"/>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宋体"/>
        <a:cs typeface="Times New Roman"/>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2026-08-27T07:48:16Z</dcterms:created>
  <dcterms:modified xsi:type="dcterms:W3CDTF">2026-08-27T07:48:16Z</dcterms:modified>
</cp:coreProperties>
</file>

<file path=docProps/custom.xml><?xml version="1.0" encoding="utf-8"?>
<Properties xmlns="http://schemas.openxmlformats.org/officeDocument/2006/custom-properties" xmlns:vt="http://schemas.openxmlformats.org/officeDocument/2006/docPropsVTypes"/>
</file>