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固定分区与严格保鲜优先下的冷链配送路径优化"/>
    <w:p>
      <w:pPr>
        <w:pStyle w:val="Heading1"/>
        <w:spacing w:line="240" w:lineRule="auto" w:before="0" w:after="60"/>
        <w:ind w:firstLine="0"/>
        <w:jc w:val="center"/>
      </w:pPr>
      <w:r>
        <w:rPr>
          <w:rFonts w:hint="eastAsia" w:ascii="Times New Roman" w:hAnsi="Times New Roman" w:eastAsia="宋体"/>
          <w:b/>
          <w:color w:val="000000"/>
          <w:sz w:val="30"/>
        </w:rPr>
        <w:t xml:space="preserve">固定分区与严格保鲜优先下的冷链配送路径优化</w:t>
      </w:r>
    </w:p>
    <w:bookmarkStart w:id="9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针对一个中央厨房、3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家门店组成的冷链配送网络，任务一建立固定分区、配送站必经的路线型</w:t>
      </w:r>
      <w:r>
        <w:rPr>
          <w:rFonts w:ascii="Times New Roman" w:hAnsi="Times New Roman" w:eastAsia="宋体"/>
          <w:color w:val="000000"/>
          <w:sz w:val="24"/>
        </w:rPr>
        <w:t xml:space="preserve"> 0-1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车辆路径模型，按词典序先最小化迟到门店数，再最小化运输成本与时间窗事件罚。固定分区后完整方案仅有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种，完整枚举可得到当前模型下的精确最优解。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任务二得到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车路线分别为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；总里程为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家门店均按时到达。任务三将“4:30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封闭”作为可复现的静态主场景。枚举结果表明，封路删除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个本已迟到的组合，而正常最优路线未使用该弧；重优化后路线和成本不变，增量为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分钟/店时，该结论保持成立。真正的在途动态重路由还需要事件时刻和车辆状态数据。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color w:val="000000"/>
          <w:sz w:val="24"/>
        </w:rPr>
        <w:t xml:space="preserve">关键词：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冷链配送；车辆路径问题；时间窗；词典序优化；精确枚举；扰动重优化</w:t>
      </w:r>
    </w:p>
    <w:bookmarkEnd w:id="9"/>
    <w:bookmarkStart w:id="10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三个区域配送站和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封闭后重新规划，并以相同口径量化路线和成本变化。</w:t>
      </w:r>
    </w:p>
    <w:bookmarkEnd w:id="10"/>
    <w:bookmarkStart w:id="18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二、问题分析</w:t>
      </w:r>
    </w:p>
    <w:bookmarkStart w:id="11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color w:val="000000"/>
          <w:sz w:val="24"/>
        </w:rPr>
        <w:t xml:space="preserve"> A/B/C </w:t>
      </w:r>
      <w:r>
        <w:rPr>
          <w:rFonts w:hint="eastAsia" w:ascii="Times New Roman" w:hAnsi="Times New Roman" w:eastAsia="宋体"/>
          <w:color w:val="000000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各区域总需求分别为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箱，均小于单车容量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color w:val="000000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若沿用一般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11"/>
    <w:bookmarkStart w:id="12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0；仅当所有方案均有迟到时，才报告包含迟到罚的软窗应急解。</w:t>
      </w:r>
    </w:p>
    <w:bookmarkEnd w:id="12"/>
    <w:bookmarkStart w:id="13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，但没有给出封路发现时刻和车辆在途位置、已服务节点或剩余载荷。为形成可复现的主分析，本文采用“4:30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发车前已知该弧封闭，并在发车前重新选择三条完整路线”的静态施工情景。在该信息状态下，先检查正常最优路线是否使用封闭弧，再在禁弧后的候选集中按相同目标重优化。封闭方向严格按题给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处理；若施工在车辆出发后才被发现，则还需事件时刻和车辆状态数据，属于数据条件不同的动态重路由问题。</w:t>
      </w:r>
    </w:p>
    <w:bookmarkEnd w:id="13"/>
    <w:bookmarkStart w:id="17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建模所用节点数据见表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1。节点</w:t>
      </w:r>
      <w:r>
        <w:rPr>
          <w:rFonts w:ascii="Times New Roman" w:hAnsi="Times New Roman" w:eastAsia="宋体"/>
          <w:color w:val="000000"/>
          <w:sz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为中央厨房，节点</w:t>
      </w:r>
      <w:r>
        <w:rPr>
          <w:rFonts w:ascii="Times New Roman" w:hAnsi="Times New Roman" w:eastAsia="宋体"/>
          <w:color w:val="000000"/>
          <w:sz w:val="24"/>
        </w:rPr>
        <w:t xml:space="preserve"> 1—3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为配送站，节点</w:t>
      </w:r>
      <w:r>
        <w:rPr>
          <w:rFonts w:ascii="Times New Roman" w:hAnsi="Times New Roman" w:eastAsia="宋体"/>
          <w:color w:val="000000"/>
          <w:sz w:val="24"/>
        </w:rPr>
        <w:t xml:space="preserve"> 4—9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km，因此欧氏距离可直接作为当前缺少道路矩阵时的距离代理。节点空间关系、固定分区和封闭方向见图</w:t>
      </w:r>
      <w:r>
        <w:rPr>
          <w:rFonts w:ascii="Times New Roman" w:hAnsi="Times New Roman" w:eastAsia="宋体"/>
          <w:color w:val="000000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../figures/fig1_assignment_networ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节点坐标、固定分区与任务三封闭弧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节点、需求与时间窗数据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5"/>
        <w:gridCol w:w="1701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坐标/km</w:t>
            </w:r>
          </w:p>
        </w:tc>
        <w:tc>
          <w:tcPr>
            <w:tcW w:w="98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需求/箱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三个任务依次继承同一固定分区合同和时间窗口径：任务一确定模型与目标，任务二求得正常场景基线，任务三只改变禁弧后的候选集合并按相同目标重优化。</w:t>
      </w:r>
    </w:p>
    <w:bookmarkEnd w:id="17"/>
    <w:bookmarkEnd w:id="18"/>
    <w:bookmarkStart w:id="19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三辆同质冷链车均于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color w:val="000000"/>
          <w:sz w:val="24"/>
        </w:rPr>
        <w:t xml:space="preserve"> 180 km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color w:val="000000"/>
          <w:sz w:val="24"/>
        </w:rPr>
        <w:t xml:space="preserve"> 35 km/h </w:t>
      </w:r>
      <w:r>
        <w:rPr>
          <w:rFonts w:hint="eastAsia" w:ascii="Times New Roman" w:hAnsi="Times New Roman" w:eastAsia="宋体"/>
          <w:color w:val="000000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车辆运输温度始终不高于</w:t>
      </w:r>
      <w:r>
        <w:rPr>
          <w:rFonts w:ascii="Times New Roman" w:hAnsi="Times New Roman" w:eastAsia="宋体"/>
          <w:color w:val="000000"/>
          <w:sz w:val="24"/>
        </w:rPr>
        <w:t xml:space="preserve"> -18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℃，从而满足门店不高于</w:t>
      </w:r>
      <w:r>
        <w:rPr>
          <w:rFonts w:ascii="Times New Roman" w:hAnsi="Times New Roman" w:eastAsia="宋体"/>
          <w:color w:val="000000"/>
          <w:sz w:val="24"/>
        </w:rPr>
        <w:t xml:space="preserve"> -15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任务三仅禁用有向弧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，并采用“4:30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发车前已知封路、发车前重选完整路线”的静态主场景；在途动态情景不在现有数据支持范围内。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任务三的零增量结果只适用于发车前静态重优化。</w:t>
      </w:r>
    </w:p>
    <w:bookmarkEnd w:id="19"/>
    <w:bookmarkStart w:id="20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主要符号与单位见表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符号说明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8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符号</w:t>
            </w:r>
          </w:p>
        </w:tc>
        <w:tc>
          <w:tcPr>
            <w:tcW w:w="599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h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的服务或停留时长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ω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元</w:t>
            </w:r>
          </w:p>
        </w:tc>
      </w:tr>
    </w:tbl>
    <w:bookmarkEnd w:id="20"/>
    <w:bookmarkStart w:id="26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color w:val="000000"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模型</w:t>
      </w:r>
    </w:p>
    <w:bookmarkStart w:id="21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的坐标分别为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对应配送站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和门店集合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把路线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写为节点序列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其中门店服务时长基线为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，配送站和中央厨房停留时长也取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0。对路线位置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ℓ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1"/>
    <w:bookmarkStart w:id="22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对每个给定情景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独立求解。为简化记号，路线选择变量省略情景上标；不同情景中的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分别由各自的可行域和目标确定。令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表示车辆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选择候选路线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，否则为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T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H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22"/>
    <w:bookmarkStart w:id="23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记正常情景的封闭弧集为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，其中不含任何弧；在发车前已知封路的静态施工情景中，封闭弧集为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当且仅当路线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含有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ω</m:t>
            </m:r>
          </m:sup>
        </m:s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k</m:t>
              </m:r>
              <m:r>
                <m:t>r</m:t>
              </m:r>
            </m:sub>
            <m:sup>
              <m:r>
                <m:t>ω</m:t>
              </m:r>
            </m:sup>
          </m:sSubSup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其中约束对所有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成立。车辆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的载货量分别为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color w:val="000000"/>
          <w:sz w:val="24"/>
        </w:rPr>
        <w:t xml:space="preserve"> -18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以下，因而不高于门店要求的</w:t>
      </w:r>
      <w:r>
        <w:rPr>
          <w:rFonts w:ascii="Times New Roman" w:hAnsi="Times New Roman" w:eastAsia="宋体"/>
          <w:color w:val="000000"/>
          <w:sz w:val="24"/>
        </w:rPr>
        <w:t xml:space="preserve"> -15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℃；该条件不区分两条候选路线。</w:t>
      </w:r>
    </w:p>
    <w:bookmarkEnd w:id="23"/>
    <w:bookmarkStart w:id="24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下的完整方案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lexmin</m:t>
              </m:r>
            </m:e>
            <m:sub>
              <m: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L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0，第二层中的迟到罚按题给</w:t>
      </w:r>
      <w:r>
        <w:rPr>
          <w:rFonts w:ascii="Times New Roman" w:hAnsi="Times New Roman" w:eastAsia="宋体"/>
          <w:color w:val="000000"/>
          <w:sz w:val="24"/>
        </w:rPr>
        <w:t xml:space="preserve"> 80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24"/>
    <w:bookmarkStart w:id="25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5.5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每辆车只有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程序先为每条路线生成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ℓ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，再枚举满足唯一选路约束的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ω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t>ω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排序。由于全部可选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color w:val="000000"/>
          <w:sz w:val="24"/>
        </w:rPr>
        <w:t xml:space="preserve"> MILP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求解器。</w:t>
      </w:r>
    </w:p>
    <w:bookmarkEnd w:id="25"/>
    <w:bookmarkEnd w:id="26"/>
    <w:bookmarkStart w:id="33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个组合均满足容量、里程和结构约束，完整比较见表</w:t>
      </w:r>
      <w:r>
        <w:rPr>
          <w:rFonts w:ascii="Times New Roman" w:hAnsi="Times New Roman" w:eastAsia="宋体"/>
          <w:color w:val="000000"/>
          <w:sz w:val="24"/>
        </w:rPr>
        <w:t xml:space="preserve"> 3。A、B、C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顺序只列所属配送站之后两家门店的访问次序；综合成本包含运输费和时间窗事件罚。表中的“基础约束可行”仅指结构、容量和里程可行，时间窗表现由迟到列单独评价；施工列还要求路线不经过封闭弧。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个完整候选方案及封路影响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074"/>
        <w:gridCol w:w="1074"/>
        <w:gridCol w:w="1074"/>
        <w:gridCol w:w="895"/>
        <w:gridCol w:w="1701"/>
        <w:gridCol w:w="1164"/>
        <w:gridCol w:w="13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顺序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迟到/个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综合成本/元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基础约束可行</w:t>
            </w:r>
          </w:p>
        </w:tc>
        <w:tc>
          <w:tcPr>
            <w:tcW w:w="13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封路后基础约束可行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420.5380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bCs/>
                <w:color w:val="000000"/>
                <w:sz w:val="20"/>
              </w:rPr>
              <w:t xml:space="preserve">415.4852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bCs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569.5634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564.5106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427.7414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422.6886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576.7668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571.7140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</w:t>
            </w:r>
          </w:p>
        </w:tc>
        <w:tc>
          <w:tcPr>
            <w:tcW w:w="13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否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达到零迟到；B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车反向访问两店的方案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店。词典序第一层先排除全部迟到组合，第二层再从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个零迟到方案中选出成本最低的方案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2。其成本比次优零迟到方案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低</w:t>
      </w:r>
      <w:r>
        <w:rPr>
          <w:rFonts w:ascii="Times New Roman" w:hAnsi="Times New Roman" w:eastAsia="宋体"/>
          <w:color w:val="000000"/>
          <w:sz w:val="24"/>
        </w:rPr>
        <w:t xml:space="preserve"> 5.0528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元，详细路线见表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4。由此，精确最优结论建立在全部许可组合的显式比较上，而不是从单一可行方案直接报告。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正常场景最优路线与成本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7"/>
        <w:gridCol w:w="895"/>
        <w:gridCol w:w="1074"/>
        <w:gridCol w:w="1253"/>
        <w:gridCol w:w="806"/>
        <w:gridCol w:w="806"/>
        <w:gridCol w:w="895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250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迟到/次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合计</w:t>
            </w:r>
          </w:p>
        </w:tc>
        <w:tc>
          <w:tcPr>
            <w:tcW w:w="250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0，综合成本等于运输成本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车里程最长，占总里程的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位于节点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8，和配送站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及门店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704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2_optimal_rou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 xml:space="preserve">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家门店的精确到达时刻见表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5。各到达时刻均落在题给时间窗内，所以车辆无需等待，早到与迟到事件数均为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 xml:space="preserve">门店停靠顺序与到达时刻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2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到达时刻</w:t>
            </w:r>
          </w:p>
        </w:tc>
        <w:tc>
          <w:tcPr>
            <w:tcW w:w="161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04:51:59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04:59:39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04:52:18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05:23:35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04:49:24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05:01:45</w:t>
            </w:r>
          </w:p>
        </w:tc>
        <w:tc>
          <w:tcPr>
            <w:tcW w:w="161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箱，只使用</w:t>
      </w:r>
      <w:r>
        <w:rPr>
          <w:rFonts w:ascii="Times New Roman" w:hAnsi="Times New Roman" w:eastAsia="宋体"/>
          <w:color w:val="000000"/>
          <w:sz w:val="24"/>
        </w:rPr>
        <w:t xml:space="preserve"> 60% </w:t>
      </w:r>
      <w:r>
        <w:rPr>
          <w:rFonts w:hint="eastAsia" w:ascii="Times New Roman" w:hAnsi="Times New Roman" w:eastAsia="宋体"/>
          <w:color w:val="000000"/>
          <w:sz w:val="24"/>
        </w:rPr>
        <w:t xml:space="preserve">容量，仍余</w:t>
      </w:r>
      <w:r>
        <w:rPr>
          <w:rFonts w:ascii="Times New Roman" w:hAnsi="Times New Roman" w:eastAsia="宋体"/>
          <w:color w:val="000000"/>
          <w:sz w:val="24"/>
        </w:rPr>
        <w:t xml:space="preserve"> 24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箱；最大路线里程为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km，只使用约</w:t>
      </w:r>
      <w:r>
        <w:rPr>
          <w:rFonts w:ascii="Times New Roman" w:hAnsi="Times New Roman" w:eastAsia="宋体"/>
          <w:color w:val="000000"/>
          <w:sz w:val="24"/>
        </w:rPr>
        <w:t xml:space="preserve"> 22.92%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的里程上限，仍余</w:t>
      </w:r>
      <w:r>
        <w:rPr>
          <w:rFonts w:ascii="Times New Roman" w:hAnsi="Times New Roman" w:eastAsia="宋体"/>
          <w:color w:val="000000"/>
          <w:sz w:val="24"/>
        </w:rPr>
        <w:t xml:space="preserve"> 138.7453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km。相较之下，B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color w:val="000000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334000" cy="318558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3_time_window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最优方案到达时刻与门店时间窗</w:t>
      </w:r>
    </w:p>
    <w:bookmarkEnd w:id="33"/>
    <w:bookmarkStart w:id="34" w:name="七任务三发车前已知封路的静态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七、任务三：发车前已知封路的静态重优化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按第</w:t>
      </w:r>
      <w:r>
        <w:rPr>
          <w:rFonts w:ascii="Times New Roman" w:hAnsi="Times New Roman" w:eastAsia="宋体"/>
          <w:color w:val="000000"/>
          <w:sz w:val="24"/>
        </w:rPr>
        <w:t xml:space="preserve"> 2.3 </w:t>
      </w:r>
      <w:r>
        <w:rPr>
          <w:rFonts w:hint="eastAsia" w:ascii="Times New Roman" w:hAnsi="Times New Roman" w:eastAsia="宋体"/>
          <w:color w:val="000000"/>
          <w:sz w:val="24"/>
        </w:rPr>
        <w:t xml:space="preserve">节定义的静态施工情景，发车前将有向弧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从可用弧集中删除，再重新选择三辆车的完整路线。正常最优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其中不含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，故原最优方案在施工后仍可行。表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中方案</w:t>
      </w:r>
      <w:r>
        <w:rPr>
          <w:rFonts w:ascii="Times New Roman" w:hAnsi="Times New Roman" w:eastAsia="宋体"/>
          <w:color w:val="000000"/>
          <w:sz w:val="24"/>
        </w:rPr>
        <w:t xml:space="preserve"> 3、4、7、8 </w:t>
      </w:r>
      <w:r>
        <w:rPr>
          <w:rFonts w:hint="eastAsia" w:ascii="Times New Roman" w:hAnsi="Times New Roman" w:eastAsia="宋体"/>
          <w:color w:val="000000"/>
          <w:sz w:val="24"/>
        </w:rPr>
        <w:t xml:space="preserve">包含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，在禁弧后被剔除；方案</w:t>
      </w:r>
      <w:r>
        <w:rPr>
          <w:rFonts w:ascii="Times New Roman" w:hAnsi="Times New Roman" w:eastAsia="宋体"/>
          <w:color w:val="000000"/>
          <w:sz w:val="24"/>
        </w:rPr>
        <w:t xml:space="preserve"> 1、2、5、6 </w:t>
      </w:r>
      <w:r>
        <w:rPr>
          <w:rFonts w:hint="eastAsia" w:ascii="Times New Roman" w:hAnsi="Times New Roman" w:eastAsia="宋体"/>
          <w:color w:val="000000"/>
          <w:sz w:val="24"/>
        </w:rPr>
        <w:t xml:space="preserve">继续可行。对剩余组合按同一词典序目标重优化，最优路线仍为方案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2。正常与静态施工方案的量化对比见表</w:t>
      </w:r>
      <w:r>
        <w:rPr>
          <w:rFonts w:ascii="Times New Roman" w:hAnsi="Times New Roman" w:eastAsia="宋体"/>
          <w:color w:val="000000"/>
          <w:sz w:val="24"/>
        </w:rPr>
        <w:t xml:space="preserve"> 6。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正常方案与施工静态重优化方案比较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3581"/>
        <w:gridCol w:w="1790"/>
        <w:gridCol w:w="1790"/>
        <w:gridCol w:w="1791"/>
      </w:tblGrid>
      <w:tr>
        <w:trPr>
          <w:tblHeader w:val="on"/>
          <w:cantSplit/>
        </w:trPr>
        <w:tc>
          <w:tcPr>
            <w:tcW w:w="358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施工方案</w:t>
            </w:r>
          </w:p>
        </w:tc>
        <w:tc>
          <w:tcPr>
            <w:tcW w:w="179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按题给节点编号和封闭方向计算，指定封路未经过正常最优路线，因而在当前静态情景中不产生绕路代价。若封闭方向改为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或道路双向封闭，可行域将不同，应作为新的施工情景另行计算。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个减为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个。表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明确显示，被删除集合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都采用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，在正常场景下本就迟到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店，已被词典序第一层支配；保留集合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恰为全部零迟到组合，且最优集合中的方案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未被删除。因此这次扰动改变了可行域，却没有改变最优方案和目标值。该机制只适用于当前有向弧、坐标距离、固定分区合同和发车前静态情景，不能代表一般施工封路或在途动态改道的成本变化。</w:t>
      </w:r>
    </w:p>
    <w:bookmarkEnd w:id="34"/>
    <w:bookmarkStart w:id="37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八、敏感性与验证</w:t>
      </w:r>
    </w:p>
    <w:bookmarkStart w:id="35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基线把门店服务时长取为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。随着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σ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增大，后一门店的到达时刻单调推迟。控制边界的是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8：在最优路线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上，只有前一门店节点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的服务会推迟节点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270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+</m:t>
          </m:r>
          <m:r>
            <m:t>σ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58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345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min，可直接得到解析边界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其余车辆和门店在该边界处仍有更大时间余量。再对正常和封路场景分别进行数值二分核验，均复现同一临界值；两种场景保留同一条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车最优路线，所以阈值相同。只要统一服务时长不超过约</w:t>
      </w:r>
      <w:r>
        <w:rPr>
          <w:rFonts w:ascii="Times New Roman" w:hAnsi="Times New Roman" w:eastAsia="宋体"/>
          <w:color w:val="000000"/>
          <w:sz w:val="24"/>
        </w:rPr>
        <w:t xml:space="preserve"> 21.421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0。超过该阈值后，迟到数和路线可能改变，本文不将边界之外的结论视为已验证结果。</w:t>
      </w:r>
    </w:p>
    <w:bookmarkEnd w:id="35"/>
    <w:bookmarkStart w:id="36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最优性与数值核验</w:t>
      </w:r>
    </w:p>
    <w:p>
      <w:pPr>
        <w:pStyle w:val="FirstParagraph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给出了正常场景全部</w:t>
      </w:r>
      <w:r>
        <w:rPr>
          <w:rFonts w:ascii="Times New Roman" w:hAnsi="Times New Roman" w:eastAsia="宋体"/>
          <w:color w:val="000000"/>
          <w:sz w:val="21"/>
        </w:rPr>
        <w:t xml:space="preserve"> 8 </w:t>
      </w:r>
      <w:r>
        <w:rPr>
          <w:rFonts w:hint="eastAsia" w:ascii="Times New Roman" w:hAnsi="Times New Roman" w:eastAsia="宋体"/>
          <w:color w:val="000000"/>
          <w:sz w:val="21"/>
        </w:rPr>
        <w:t xml:space="preserve">个组合的路线、迟到数和成本，并同时标出禁弧后的保留集合。三条最优路线的几何距离分别复算为</w:t>
      </w:r>
      <w:r>
        <w:rPr>
          <w:rFonts w:ascii="Times New Roman" w:hAnsi="Times New Roman" w:eastAsia="宋体"/>
          <w:color w:val="000000"/>
          <w:sz w:val="21"/>
        </w:rPr>
        <w:t xml:space="preserve"> 29.9497、41.2547 </w:t>
      </w:r>
      <w:r>
        <w:rPr>
          <w:rFonts w:hint="eastAsia" w:ascii="Times New Roman" w:hAnsi="Times New Roman" w:eastAsia="宋体"/>
          <w:color w:val="000000"/>
          <w:sz w:val="21"/>
        </w:rPr>
        <w:t xml:space="preserve">和</w:t>
      </w:r>
      <w:r>
        <w:rPr>
          <w:rFonts w:ascii="Times New Roman" w:hAnsi="Times New Roman" w:eastAsia="宋体"/>
          <w:color w:val="000000"/>
          <w:sz w:val="21"/>
        </w:rPr>
        <w:t xml:space="preserve"> 32.6669 </w:t>
      </w:r>
      <w:r>
        <w:rPr>
          <w:rFonts w:hint="eastAsia" w:ascii="Times New Roman" w:hAnsi="Times New Roman" w:eastAsia="宋体"/>
          <w:color w:val="000000"/>
          <w:sz w:val="21"/>
        </w:rPr>
        <w:t xml:space="preserve">km，与表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一致；总里程乘以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元/km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元，也与三车路线成本之和一致。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路线容量均不超过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箱，单车最大里程为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km，远低于</w:t>
      </w:r>
      <w:r>
        <w:rPr>
          <w:rFonts w:ascii="Times New Roman" w:hAnsi="Times New Roman" w:eastAsia="宋体"/>
          <w:color w:val="000000"/>
          <w:sz w:val="24"/>
        </w:rPr>
        <w:t xml:space="preserve"> 180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km；表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的到达时刻全部位于相应窗口内。封路前后的候选集合差异与表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3、表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一致，服务时长的解析边界也由数值搜索复现。上述核验覆盖了容量、里程、时间递推、目标排序和扰动边界。</w:t>
      </w:r>
    </w:p>
    <w:bookmarkEnd w:id="36"/>
    <w:bookmarkEnd w:id="37"/>
    <w:bookmarkStart w:id="38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模型的主要优点是语义与计算边界清楚。固定分区、配送站前序、时间窗优先级和封闭弧方向均显式进入模型；表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展示全部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个组合及其封路可行性，能够给出当前小规模实例的全局最优性和零效应机制证据。任务三先检查封闭弧是否命中基线，再在静态施工情景中重优化；服务时长阈值则给出了零服务时长假设的适用范围。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只能回答发车前静态重优化；在途动态重路由还需要事件发生时刻、车辆位置、已服务节点、剩余载荷和实时路网状态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[3]，现有数据不足以支持这类计算。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MILP、列生成或成熟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求解器，而不再进行全枚举。</w:t>
      </w:r>
    </w:p>
    <w:bookmarkEnd w:id="38"/>
    <w:bookmarkStart w:id="39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个许可组合的比较表明，该方案在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个零迟到组合中成本最低。对于发车前已知有向弧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封闭的静态情景，禁弧删除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个本已迟到的组合，正常最优路线仍然可行，重优化路线和成本均不变。该零增量结论在统一门店服务时长不超过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分钟/店时保持成立，但不适用于数据条件不同的在途动态重路由。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此，本题的关键不在于设计复杂的元启发式算法，而在于正确处理固定分区、保鲜优先级、施工信息状态以及“封闭弧未命中最优路线”的数据事实。若企业期望得到真实在途施工绕路方案，必须补充与封路一致的道路邻接和方向信息，以及事件时刻和车辆实时状态。</w:t>
      </w:r>
    </w:p>
    <w:bookmarkEnd w:id="39"/>
    <w:bookmarkStart w:id="40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40"/>
    <w:bookmarkEnd w:id="41"/>
    <w:sectPr>
      <w:footerReference w:type="default" r:id="rId9"/>
      <w:footerReference w:type="first" r:id="rId10"/>
      <w:footnotePr>
        <w:numRestart w:val="eachSect"/>
      </w:footnotePr>
      <w:pgSz w:w="11906" w:h="16838"/>
      <w:pgMar w:top="1417" w:bottom="1417" w:left="1417" w:right="1417" w:header="850" w:footer="1020" w:gutter="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2026-08-24T17:15:43Z</dcterms:created>
  <dcterms:modified xsi:type="dcterms:W3CDTF">2026-08-24T17:15:43Z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