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77" w:rsidRDefault="00C558ED" w:rsidP="00676077">
      <w:pPr>
        <w:pStyle w:val="Nadpis1"/>
      </w:pPr>
      <w:r>
        <w:t>22. Adresace v</w:t>
      </w:r>
      <w:r w:rsidR="008F232A">
        <w:t> </w:t>
      </w:r>
      <w:r>
        <w:t>sítích</w:t>
      </w:r>
    </w:p>
    <w:p w:rsidR="008F232A" w:rsidRDefault="008F232A" w:rsidP="008F232A">
      <w:pPr>
        <w:rPr>
          <w:lang w:eastAsia="cs-CZ"/>
        </w:rPr>
      </w:pPr>
      <w:r w:rsidRPr="008F232A">
        <w:rPr>
          <w:lang w:eastAsia="cs-CZ"/>
        </w:rPr>
        <w:t>Adresace v počítačových sítích, nezávisle na typu protokolu, musí zajistit unikátnost adresy uzlu v rámci celé sítě. Tento problém je řešen logickým rozdělením adres na část adresy sítě a adresy uzlu (jde o jakousi analogii telefonních čísel, kde je koncový uzel jednoznačně určen dvojicí číslo předvolby a číslo koncové stanice).</w:t>
      </w:r>
    </w:p>
    <w:p w:rsidR="00391C5E" w:rsidRPr="008F232A" w:rsidRDefault="00391C5E" w:rsidP="008F232A">
      <w:pPr>
        <w:rPr>
          <w:lang w:eastAsia="cs-CZ"/>
        </w:rPr>
      </w:pPr>
      <w:r>
        <w:rPr>
          <w:lang w:eastAsia="cs-CZ"/>
        </w:rPr>
        <w:t>Používají se 2 základní adresy.</w:t>
      </w:r>
    </w:p>
    <w:p w:rsidR="002F5BDD" w:rsidRDefault="002F5BDD" w:rsidP="002F5BDD">
      <w:pPr>
        <w:pStyle w:val="Nadpis2"/>
        <w:rPr>
          <w:lang w:eastAsia="cs-CZ"/>
        </w:rPr>
      </w:pPr>
      <w:r>
        <w:rPr>
          <w:lang w:eastAsia="cs-CZ"/>
        </w:rPr>
        <w:t>MAC</w:t>
      </w:r>
      <w:r w:rsidR="00B83727">
        <w:rPr>
          <w:lang w:eastAsia="cs-CZ"/>
        </w:rPr>
        <w:t>; Media Access Control</w:t>
      </w:r>
    </w:p>
    <w:p w:rsidR="00490B90" w:rsidRPr="00490B90" w:rsidRDefault="009808BF" w:rsidP="00B83727">
      <w:r>
        <w:rPr>
          <w:highlight w:val="white"/>
        </w:rPr>
        <w:t>Je</w:t>
      </w:r>
      <w:r w:rsidR="00490B90">
        <w:rPr>
          <w:highlight w:val="white"/>
        </w:rPr>
        <w:t>dinečný identifikátor síťového zařízení, který</w:t>
      </w:r>
      <w:r w:rsidR="00547233">
        <w:rPr>
          <w:highlight w:val="white"/>
        </w:rPr>
        <w:t xml:space="preserve"> používají různé protokoly 2.</w:t>
      </w:r>
      <w:r w:rsidR="00073C3E">
        <w:rPr>
          <w:highlight w:val="white"/>
        </w:rPr>
        <w:t xml:space="preserve"> </w:t>
      </w:r>
      <w:r w:rsidR="00490B90">
        <w:rPr>
          <w:highlight w:val="white"/>
        </w:rPr>
        <w:t xml:space="preserve">vrstvy OSI. Je přiřazována síťové kartě (NIC) bezprostředně při její výrobě (u starších karet je přímo uložena do EEPROM paměti) a proto se jí také někdy říká </w:t>
      </w:r>
      <w:r w:rsidR="00490B90">
        <w:rPr>
          <w:b/>
          <w:highlight w:val="white"/>
        </w:rPr>
        <w:t xml:space="preserve">fyzická adresa </w:t>
      </w:r>
      <w:r w:rsidR="00490B90">
        <w:rPr>
          <w:highlight w:val="white"/>
        </w:rPr>
        <w:t>(</w:t>
      </w:r>
      <w:r w:rsidR="00490B90">
        <w:t>hardwarová adresa</w:t>
      </w:r>
      <w:r w:rsidR="00490B90">
        <w:rPr>
          <w:b/>
          <w:highlight w:val="white"/>
        </w:rPr>
        <w:t>)</w:t>
      </w:r>
      <w:r w:rsidR="00490B90">
        <w:rPr>
          <w:highlight w:val="white"/>
        </w:rPr>
        <w:t xml:space="preserve">, nicméně ji lze dnes u moderních karet dodatečně změnit. Ethernetová MAC adresa se skládá ze </w:t>
      </w:r>
      <w:r w:rsidR="00490B90" w:rsidRPr="003335B6">
        <w:rPr>
          <w:rStyle w:val="Nadpis3Char"/>
          <w:highlight w:val="white"/>
        </w:rPr>
        <w:t xml:space="preserve">48 </w:t>
      </w:r>
      <w:hyperlink r:id="rId8">
        <w:r w:rsidR="00490B90" w:rsidRPr="003335B6">
          <w:rPr>
            <w:rStyle w:val="Nadpis3Char"/>
            <w:highlight w:val="white"/>
          </w:rPr>
          <w:t>bitů</w:t>
        </w:r>
      </w:hyperlink>
      <w:r w:rsidR="00490B90">
        <w:rPr>
          <w:highlight w:val="white"/>
        </w:rPr>
        <w:t xml:space="preserve"> a podle standardu by se měla zapisovat jako tři skupiny čt</w:t>
      </w:r>
      <w:r w:rsidR="0066321D">
        <w:rPr>
          <w:highlight w:val="white"/>
        </w:rPr>
        <w:t>yř hexadecimálních čísel (</w:t>
      </w:r>
      <w:r w:rsidR="00490B90">
        <w:rPr>
          <w:highlight w:val="white"/>
        </w:rPr>
        <w:t xml:space="preserve">0123.4567.89ab), mnohem častěji se ale píše jako šestice dvojciferných hexadecimálních </w:t>
      </w:r>
      <w:r w:rsidR="00496A64">
        <w:rPr>
          <w:highlight w:val="white"/>
        </w:rPr>
        <w:t xml:space="preserve">čísel oddělených pomlčkami, </w:t>
      </w:r>
      <w:r w:rsidR="00490B90">
        <w:rPr>
          <w:highlight w:val="white"/>
        </w:rPr>
        <w:t>dvojtečkami nebo mezer</w:t>
      </w:r>
      <w:r w:rsidR="00A862DF">
        <w:rPr>
          <w:highlight w:val="white"/>
        </w:rPr>
        <w:t>a</w:t>
      </w:r>
      <w:r w:rsidR="00496A64">
        <w:rPr>
          <w:highlight w:val="white"/>
        </w:rPr>
        <w:t>m</w:t>
      </w:r>
      <w:r w:rsidR="00152FA9">
        <w:rPr>
          <w:highlight w:val="white"/>
        </w:rPr>
        <w:t>i</w:t>
      </w:r>
      <w:r w:rsidR="00496A64">
        <w:rPr>
          <w:highlight w:val="white"/>
        </w:rPr>
        <w:t xml:space="preserve"> </w:t>
      </w:r>
      <w:r w:rsidR="00152FA9">
        <w:rPr>
          <w:highlight w:val="white"/>
        </w:rPr>
        <w:t>(</w:t>
      </w:r>
      <w:r w:rsidR="00490B90">
        <w:rPr>
          <w:highlight w:val="white"/>
        </w:rPr>
        <w:t>01-23-45-67-89-ab</w:t>
      </w:r>
      <w:r w:rsidR="00211802">
        <w:rPr>
          <w:highlight w:val="white"/>
        </w:rPr>
        <w:t xml:space="preserve">; </w:t>
      </w:r>
      <w:r w:rsidR="00490B90">
        <w:rPr>
          <w:highlight w:val="white"/>
        </w:rPr>
        <w:t>01:23:45:67:89:ab</w:t>
      </w:r>
      <w:r w:rsidR="00211802">
        <w:rPr>
          <w:highlight w:val="white"/>
        </w:rPr>
        <w:t xml:space="preserve">; </w:t>
      </w:r>
      <w:r w:rsidR="00182B1F">
        <w:rPr>
          <w:highlight w:val="white"/>
        </w:rPr>
        <w:t>01 23 45 67 89 ab).</w:t>
      </w:r>
    </w:p>
    <w:p w:rsidR="009A519D" w:rsidRPr="009A519D" w:rsidRDefault="009A519D" w:rsidP="009A519D">
      <w:pPr>
        <w:pStyle w:val="Nadpis3"/>
        <w:rPr>
          <w:lang w:eastAsia="cs-CZ"/>
        </w:rPr>
      </w:pPr>
      <w:r>
        <w:rPr>
          <w:lang w:eastAsia="cs-CZ"/>
        </w:rPr>
        <w:t>Jedinečnost adres</w:t>
      </w:r>
    </w:p>
    <w:p w:rsidR="0083458F" w:rsidRDefault="0083458F" w:rsidP="0083458F">
      <w:r>
        <w:rPr>
          <w:highlight w:val="white"/>
        </w:rPr>
        <w:t>MAC adresa přidělená výrobcem je vždy celosvětově jedinečná. Z hlediska přidělování je rozdělena na dvě poloviny. O první polovinu musí výrobce požádat centrálního správce adresního prostoru a je u všech karet daného výrobce stejná</w:t>
      </w:r>
      <w:r w:rsidR="00B24C29">
        <w:rPr>
          <w:highlight w:val="white"/>
        </w:rPr>
        <w:t xml:space="preserve">. Výrobce </w:t>
      </w:r>
      <w:r>
        <w:rPr>
          <w:highlight w:val="white"/>
        </w:rPr>
        <w:t>každé vyrobené kartě či zařízení přiřazuje jedinečnou hodnotu druhé poloviny adresy. Jednoznačnost velmi usnadňuje správu lokálních sítí – novou kartu lze zapojit a spolehnout se na to, že bude jednoznačně identifikována.</w:t>
      </w:r>
    </w:p>
    <w:p w:rsidR="0083458F" w:rsidRDefault="0083458F" w:rsidP="0083458F">
      <w:r>
        <w:lastRenderedPageBreak/>
        <w:t>Vzhledem ke skutečnosti, že moderní síťová zařízení mají možnost MAC adresu změnit, není zaručena jednoznačná identifikace zařízení v lokální počítačové síti LAN. Při výskytu zařízení se stejnou MAC adresou ve stejné lokální síti nemusí být komunikace mezi některými zařízeními plně funkční.</w:t>
      </w:r>
    </w:p>
    <w:p w:rsidR="0083458F" w:rsidRDefault="0083458F" w:rsidP="0083458F">
      <w:pPr>
        <w:pStyle w:val="Nadpis3"/>
      </w:pPr>
      <w:bookmarkStart w:id="0" w:name="h.cpyeibvsumbr" w:colFirst="0" w:colLast="0"/>
      <w:bookmarkEnd w:id="0"/>
      <w:r>
        <w:t>Zjištění MAC adresy</w:t>
      </w:r>
    </w:p>
    <w:p w:rsidR="0083458F" w:rsidRDefault="0083458F" w:rsidP="00263EBD">
      <w:r>
        <w:rPr>
          <w:b/>
        </w:rPr>
        <w:t>Windows</w:t>
      </w:r>
      <w:r w:rsidR="00725EED">
        <w:t>:</w:t>
      </w:r>
      <w:r w:rsidR="00725EED" w:rsidRPr="00B13CE7">
        <w:rPr>
          <w:rStyle w:val="Nadpis4Char"/>
        </w:rPr>
        <w:t xml:space="preserve"> ipconfig /all</w:t>
      </w:r>
      <w:r w:rsidR="00397C86">
        <w:rPr>
          <w:rStyle w:val="Nadpis4Char"/>
        </w:rPr>
        <w:t>; getmac</w:t>
      </w:r>
    </w:p>
    <w:p w:rsidR="0083458F" w:rsidRDefault="0083458F" w:rsidP="00263EBD">
      <w:r>
        <w:rPr>
          <w:b/>
        </w:rPr>
        <w:t>Linux</w:t>
      </w:r>
      <w:r w:rsidR="007D59CD">
        <w:t>:</w:t>
      </w:r>
      <w:r w:rsidR="007D59CD" w:rsidRPr="00B13CE7">
        <w:rPr>
          <w:rStyle w:val="Nadpis4Char"/>
        </w:rPr>
        <w:t xml:space="preserve"> </w:t>
      </w:r>
      <w:r w:rsidR="00B13CE7" w:rsidRPr="00B13CE7">
        <w:rPr>
          <w:rStyle w:val="Nadpis4Char"/>
        </w:rPr>
        <w:t>ifconfig | grep HWadr</w:t>
      </w:r>
    </w:p>
    <w:p w:rsidR="009F3459" w:rsidRPr="009F3459" w:rsidRDefault="0083458F" w:rsidP="009A519D">
      <w:r>
        <w:rPr>
          <w:b/>
          <w:highlight w:val="white"/>
        </w:rPr>
        <w:t>Mac OS X</w:t>
      </w:r>
      <w:r w:rsidR="00876BDF">
        <w:t xml:space="preserve">: </w:t>
      </w:r>
      <w:r w:rsidRPr="00876BDF">
        <w:rPr>
          <w:rStyle w:val="Nadpis4Char"/>
        </w:rPr>
        <w:t>ifconfig</w:t>
      </w:r>
      <w:r w:rsidRPr="00876BDF">
        <w:t xml:space="preserve">, MAC adresa je uvozena slovem </w:t>
      </w:r>
      <w:r w:rsidRPr="00876BDF">
        <w:rPr>
          <w:rStyle w:val="Nadpis4Char"/>
        </w:rPr>
        <w:t>ether</w:t>
      </w:r>
      <w:r w:rsidRPr="00876BDF">
        <w:t>.</w:t>
      </w:r>
    </w:p>
    <w:p w:rsidR="00676077" w:rsidRDefault="002F5BDD" w:rsidP="002F5BDD">
      <w:pPr>
        <w:pStyle w:val="Nadpis2"/>
      </w:pPr>
      <w:r>
        <w:t>IP</w:t>
      </w:r>
    </w:p>
    <w:p w:rsidR="00A93EE9" w:rsidRDefault="001103E4" w:rsidP="00A93EE9">
      <w:r>
        <w:t>Číslo</w:t>
      </w:r>
      <w:r w:rsidR="00A93EE9">
        <w:t>, které jednoznačně identifikuje síťové rozhraní v počítačové síti, která používá IP protokol. Používá se na síťové vrstvě.</w:t>
      </w:r>
    </w:p>
    <w:p w:rsidR="00A93EE9" w:rsidRDefault="00A93EE9" w:rsidP="00A93EE9">
      <w:r>
        <w:t>IP adresa slouží k rozlišení síťových rozhraní připojených k počítačové síti. Síťovým rozhraním může bý</w:t>
      </w:r>
      <w:r w:rsidR="00B35122">
        <w:t>t síťová karta (Ethernet, Wi-Fi</w:t>
      </w:r>
      <w:r>
        <w:t>, IrDA port</w:t>
      </w:r>
      <w:r w:rsidR="00B35122">
        <w:t>)</w:t>
      </w:r>
      <w:r>
        <w:t>, ale může se jednat i o virtuální zařízení (loopback, rozhraní</w:t>
      </w:r>
      <w:r w:rsidR="00B35122">
        <w:t xml:space="preserve"> pro virtuální počítač…</w:t>
      </w:r>
      <w:r>
        <w:t>).</w:t>
      </w:r>
    </w:p>
    <w:p w:rsidR="00A93EE9" w:rsidRDefault="00A93EE9" w:rsidP="00A93EE9">
      <w:r>
        <w:t xml:space="preserve">Zkratka IP znamená Internet Protocol, což je protokol, pomocí kterého spolu komunikují všechna zařízení v Internetu. Dnes nejčastěji používaná je jeho čtvrtá verze (IPv4), postupně se však bude přecházet na novější verzi 6 (IPv6). </w:t>
      </w:r>
    </w:p>
    <w:p w:rsidR="00A93EE9" w:rsidRDefault="00A93EE9" w:rsidP="00A93EE9">
      <w:r>
        <w:t>IP adresa musí být v dané síti jednoznačná (jedno rozhraní může mít více IP adres, ale stejná IP adresa nemůže být na více rozhraních), avšak lze používat NAT</w:t>
      </w:r>
      <w:r w:rsidR="001E5EFB">
        <w:t xml:space="preserve"> a privátní IP adresy</w:t>
      </w:r>
      <w:r>
        <w:t>.</w:t>
      </w:r>
    </w:p>
    <w:p w:rsidR="00A93EE9" w:rsidRDefault="00A93EE9" w:rsidP="00A93EE9">
      <w:r>
        <w:t>Veškerá data jsou mezi síťovými rozhraními přenášena v podobě IP datagramů.</w:t>
      </w:r>
    </w:p>
    <w:p w:rsidR="00754A1B" w:rsidRDefault="00A93EE9" w:rsidP="00754A1B">
      <w:r>
        <w:t xml:space="preserve">Jelikož by pro běžné uživatele počítačových sítí bylo velice obtížné pamatovat si číselné adresy, existuje služba </w:t>
      </w:r>
      <w:r w:rsidRPr="00B73D65">
        <w:rPr>
          <w:rStyle w:val="Nadpis3Char"/>
        </w:rPr>
        <w:t>DNS</w:t>
      </w:r>
      <w:r>
        <w:t xml:space="preserve"> (Domain Name System), která </w:t>
      </w:r>
      <w:r>
        <w:lastRenderedPageBreak/>
        <w:t>umožňuje používat snadněji zapamatovatelná doménová jména počítačů, která jsou automaticky převáděna na IP adresy.</w:t>
      </w:r>
      <w:r w:rsidR="00754A1B" w:rsidRPr="00754A1B">
        <w:t xml:space="preserve"> </w:t>
      </w:r>
    </w:p>
    <w:p w:rsidR="00754A1B" w:rsidRDefault="00754A1B" w:rsidP="00754A1B">
      <w:pPr>
        <w:pStyle w:val="Nadpis3"/>
      </w:pPr>
      <w:bookmarkStart w:id="1" w:name="h.l37a9pnggxpn" w:colFirst="0" w:colLast="0"/>
      <w:bookmarkEnd w:id="1"/>
      <w:r>
        <w:t>Druhy IP adres</w:t>
      </w:r>
    </w:p>
    <w:p w:rsidR="00754A1B" w:rsidRDefault="00754A1B" w:rsidP="00754A1B">
      <w:pPr>
        <w:pStyle w:val="Nadpis5"/>
      </w:pPr>
      <w:bookmarkStart w:id="2" w:name="h.4i3knzx22k9c" w:colFirst="0" w:colLast="0"/>
      <w:bookmarkEnd w:id="2"/>
      <w:r>
        <w:t>Statická IP adresa</w:t>
      </w:r>
      <w:r w:rsidR="006F06F4">
        <w:t>; Veřejná</w:t>
      </w:r>
    </w:p>
    <w:p w:rsidR="00754A1B" w:rsidRDefault="00DC3AB3" w:rsidP="00754A1B">
      <w:r>
        <w:t>P</w:t>
      </w:r>
      <w:r w:rsidR="00754A1B">
        <w:t xml:space="preserve">evná, unikátní IP adresa, pod kterou vystupuje na internetu pouze jediný počítač. Pomocí veřejné IP adresy je možno se vzdáleně připojit k počítači, poněvadž jeho IP adresa je jedinečná a jednoznačně identifikuje dané </w:t>
      </w:r>
      <w:r w:rsidR="00391328">
        <w:t>zařízení (počítač, router</w:t>
      </w:r>
      <w:r w:rsidR="00325841">
        <w:t>…</w:t>
      </w:r>
      <w:r w:rsidR="00754A1B">
        <w:t>).</w:t>
      </w:r>
      <w:r w:rsidR="00325841">
        <w:t xml:space="preserve"> </w:t>
      </w:r>
      <w:r w:rsidR="00754A1B">
        <w:t>Velkým záporem statické IP adresy je to, že je považována za méně bezpečnou, protože dochází k přím</w:t>
      </w:r>
      <w:r w:rsidR="00BA7DC6">
        <w:t>é, stálé identifikaci majitele</w:t>
      </w:r>
      <w:r w:rsidR="00754A1B">
        <w:t xml:space="preserve"> počítače a tím pádem dochází k častým hackerským útokům na počítač. Větš</w:t>
      </w:r>
      <w:r w:rsidR="00EF7E7B">
        <w:t>i</w:t>
      </w:r>
      <w:r w:rsidR="00754A1B">
        <w:t>nou je za příplatek</w:t>
      </w:r>
    </w:p>
    <w:p w:rsidR="00754A1B" w:rsidRDefault="00754A1B" w:rsidP="00754A1B">
      <w:pPr>
        <w:pStyle w:val="Nadpis5"/>
      </w:pPr>
      <w:bookmarkStart w:id="3" w:name="h.vxzgxlx0471t" w:colFirst="0" w:colLast="0"/>
      <w:bookmarkEnd w:id="3"/>
      <w:r>
        <w:t>Dynamická IP adresa</w:t>
      </w:r>
      <w:r w:rsidR="007D78F3">
        <w:t>; Měnná</w:t>
      </w:r>
    </w:p>
    <w:p w:rsidR="00754A1B" w:rsidRDefault="00A239C2" w:rsidP="00754A1B">
      <w:r>
        <w:t>P</w:t>
      </w:r>
      <w:r w:rsidR="00754A1B">
        <w:t xml:space="preserve">oskytovatel připojení k internetu přiděluje svým zákazníkům IP adresy dynamicky, což znamená, že se při restartu počítače nebo modemu </w:t>
      </w:r>
      <w:r w:rsidR="003F08A0">
        <w:t>tato IP adresa mění</w:t>
      </w:r>
      <w:r w:rsidR="00754A1B">
        <w:t>. Dynamická IP adresa je považována za podstatně bezpečnější než statická IP adresa, protože je při každém připojení k internetu odlišná, čímž se podstatně eliminuje počet hackerských útoků na počítač.</w:t>
      </w:r>
    </w:p>
    <w:p w:rsidR="00754A1B" w:rsidRDefault="00754A1B" w:rsidP="00754A1B">
      <w:r>
        <w:t>DHCP server přiděluje svým klientům v podsíti IP adresy, díky nimž dokáže počítače identifikovat (interní IP adresy). Následná komunikace serveru s internetovou sítí probíhá opět přes veřejnou (unikátní) IP adresu. Nejčastěji dynamické IP adresy využívají síťová zařízení, j</w:t>
      </w:r>
      <w:r w:rsidR="004802F6">
        <w:t>ako jsou routery, switche…</w:t>
      </w:r>
    </w:p>
    <w:p w:rsidR="00831263" w:rsidRDefault="00831263" w:rsidP="00831263">
      <w:pPr>
        <w:pStyle w:val="Nadpis3"/>
      </w:pPr>
      <w:r>
        <w:t>IP</w:t>
      </w:r>
      <w:r w:rsidR="00F67E6E">
        <w:t>v</w:t>
      </w:r>
      <w:r>
        <w:t>4</w:t>
      </w:r>
    </w:p>
    <w:p w:rsidR="00831263" w:rsidRDefault="00831263" w:rsidP="00831263">
      <w:r>
        <w:t>32bitové číslo, zapisované po jednotlivých bajtech, oddělených tečkami. Hodnoty jednotlivých bajtů se zapisují v desítkové soustavě. Takových čísel existuje celkem 2</w:t>
      </w:r>
      <w:r>
        <w:rPr>
          <w:vertAlign w:val="superscript"/>
        </w:rPr>
        <w:t>32</w:t>
      </w:r>
      <w:r>
        <w:t xml:space="preserve"> = </w:t>
      </w:r>
      <w:r w:rsidRPr="004818E2">
        <w:rPr>
          <w:rStyle w:val="Nadpis3Char"/>
        </w:rPr>
        <w:t>4 294 967 296.</w:t>
      </w:r>
      <w:r>
        <w:t xml:space="preserve"> </w:t>
      </w:r>
    </w:p>
    <w:p w:rsidR="00831263" w:rsidRDefault="00831263" w:rsidP="002D6E9C">
      <w:r>
        <w:lastRenderedPageBreak/>
        <w:t>V úplných začátcích Internetu bylo toto rozdělení adresy na síť a lokální část fixní: prvních osm bitů adresy určovalo síť, zbytek pak stroj v síti</w:t>
      </w:r>
    </w:p>
    <w:p w:rsidR="00831263" w:rsidRDefault="00831263" w:rsidP="00831263">
      <w:r>
        <w:t>To však umožňovalo pouze 256 sítí (v každé však mohlo být přes 16 milionů stanic), takže s nástupem lokálních sítí bylo zřejmé, že bude potřeba tento systém změnit. Adresy se proto rozdělily do tříd.</w:t>
      </w:r>
    </w:p>
    <w:p w:rsidR="002D6E9C" w:rsidRDefault="002D6E9C" w:rsidP="002D6E9C">
      <w:pPr>
        <w:pStyle w:val="Nadpis5"/>
      </w:pPr>
      <w:r>
        <w:t>Maska</w:t>
      </w:r>
    </w:p>
    <w:p w:rsidR="00831263" w:rsidRDefault="00FD0019" w:rsidP="002D6E9C">
      <w:r>
        <w:rPr>
          <w:highlight w:val="white"/>
        </w:rPr>
        <w:t>Určuje h</w:t>
      </w:r>
      <w:r w:rsidR="00831263">
        <w:rPr>
          <w:highlight w:val="white"/>
        </w:rPr>
        <w:t>ranici mezi adresou podsítě a počítače. Jedná se o 32bitovou hodnotu zapisovanou stejně jako IP adresa. V binárním tvaru obsahuje jedničky tam, kde se v adrese nachází část síťová (</w:t>
      </w:r>
      <w:r w:rsidR="00831263" w:rsidRPr="005A5487">
        <w:rPr>
          <w:rStyle w:val="Nadpis3Char"/>
          <w:highlight w:val="white"/>
        </w:rPr>
        <w:t>NET</w:t>
      </w:r>
      <w:r w:rsidR="00831263">
        <w:rPr>
          <w:highlight w:val="white"/>
        </w:rPr>
        <w:t xml:space="preserve"> </w:t>
      </w:r>
      <w:r w:rsidR="00831263" w:rsidRPr="005A5487">
        <w:rPr>
          <w:rStyle w:val="Nadpis3Char"/>
          <w:highlight w:val="white"/>
        </w:rPr>
        <w:t>ID</w:t>
      </w:r>
      <w:r w:rsidR="00831263">
        <w:rPr>
          <w:highlight w:val="white"/>
        </w:rPr>
        <w:t>) a (</w:t>
      </w:r>
      <w:r w:rsidR="00831263" w:rsidRPr="005A5487">
        <w:rPr>
          <w:rStyle w:val="Nadpis3Char"/>
          <w:highlight w:val="white"/>
        </w:rPr>
        <w:t>HOST</w:t>
      </w:r>
      <w:r w:rsidR="00831263">
        <w:rPr>
          <w:highlight w:val="white"/>
        </w:rPr>
        <w:t xml:space="preserve"> </w:t>
      </w:r>
      <w:r w:rsidR="00831263" w:rsidRPr="005A5487">
        <w:rPr>
          <w:rStyle w:val="Nadpis3Char"/>
          <w:highlight w:val="white"/>
        </w:rPr>
        <w:t>ID</w:t>
      </w:r>
      <w:r w:rsidR="00831263">
        <w:rPr>
          <w:highlight w:val="white"/>
        </w:rPr>
        <w:t>) nuly tam, kde je počítač</w:t>
      </w:r>
      <w:r w:rsidR="003D1742">
        <w:rPr>
          <w:highlight w:val="white"/>
        </w:rPr>
        <w:t xml:space="preserve"> </w:t>
      </w:r>
      <w:r w:rsidR="00831263">
        <w:rPr>
          <w:highlight w:val="white"/>
        </w:rPr>
        <w:t>(pořadové číslo počítače v dané síti). Všechny PC</w:t>
      </w:r>
      <w:r w:rsidR="0092757F">
        <w:rPr>
          <w:highlight w:val="white"/>
        </w:rPr>
        <w:t>,</w:t>
      </w:r>
      <w:r w:rsidR="00831263">
        <w:rPr>
          <w:highlight w:val="white"/>
        </w:rPr>
        <w:t xml:space="preserve"> co patří do stejn</w:t>
      </w:r>
      <w:r w:rsidR="0044064F">
        <w:rPr>
          <w:highlight w:val="white"/>
        </w:rPr>
        <w:t>é</w:t>
      </w:r>
      <w:r w:rsidR="00831263">
        <w:rPr>
          <w:highlight w:val="white"/>
        </w:rPr>
        <w:t xml:space="preserve"> sítě</w:t>
      </w:r>
      <w:r w:rsidR="00F92DF3">
        <w:rPr>
          <w:highlight w:val="white"/>
        </w:rPr>
        <w:t>,</w:t>
      </w:r>
      <w:r w:rsidR="00831263">
        <w:rPr>
          <w:highlight w:val="white"/>
        </w:rPr>
        <w:t xml:space="preserve"> mají stejnou NET ID. Mask</w:t>
      </w:r>
      <w:r w:rsidR="00923A96">
        <w:rPr>
          <w:highlight w:val="white"/>
        </w:rPr>
        <w:t>u</w:t>
      </w:r>
      <w:r w:rsidR="00831263">
        <w:rPr>
          <w:highlight w:val="white"/>
        </w:rPr>
        <w:t xml:space="preserve"> lze zapsat</w:t>
      </w:r>
      <w:r w:rsidR="001662D1">
        <w:rPr>
          <w:highlight w:val="white"/>
        </w:rPr>
        <w:t xml:space="preserve"> pomocí tzv. </w:t>
      </w:r>
      <w:r w:rsidR="001662D1" w:rsidRPr="00CB3D4B">
        <w:rPr>
          <w:rStyle w:val="Nadpis3Char"/>
          <w:highlight w:val="white"/>
        </w:rPr>
        <w:t>CIDR</w:t>
      </w:r>
      <w:r w:rsidR="001662D1">
        <w:rPr>
          <w:highlight w:val="white"/>
        </w:rPr>
        <w:t xml:space="preserve"> (</w:t>
      </w:r>
      <w:r w:rsidR="00831263">
        <w:rPr>
          <w:highlight w:val="white"/>
        </w:rPr>
        <w:t>/24</w:t>
      </w:r>
      <w:r w:rsidR="001662D1">
        <w:rPr>
          <w:highlight w:val="white"/>
        </w:rPr>
        <w:t>)</w:t>
      </w:r>
      <w:r w:rsidR="00831263">
        <w:rPr>
          <w:highlight w:val="white"/>
        </w:rPr>
        <w:t xml:space="preserve"> </w:t>
      </w:r>
      <w:r w:rsidR="00BC1098">
        <w:rPr>
          <w:highlight w:val="white"/>
        </w:rPr>
        <w:t>–</w:t>
      </w:r>
      <w:r w:rsidR="00831263">
        <w:rPr>
          <w:highlight w:val="white"/>
        </w:rPr>
        <w:t xml:space="preserve"> to znamená</w:t>
      </w:r>
      <w:r w:rsidR="00BC1098">
        <w:rPr>
          <w:highlight w:val="white"/>
        </w:rPr>
        <w:t>,</w:t>
      </w:r>
      <w:r w:rsidR="00831263">
        <w:rPr>
          <w:highlight w:val="white"/>
        </w:rPr>
        <w:t xml:space="preserve"> </w:t>
      </w:r>
      <w:r w:rsidR="00BC1098">
        <w:rPr>
          <w:highlight w:val="white"/>
        </w:rPr>
        <w:t>ž</w:t>
      </w:r>
      <w:r w:rsidR="00831263">
        <w:rPr>
          <w:highlight w:val="white"/>
        </w:rPr>
        <w:t>e je 24 jedniček a pak 8 nul</w:t>
      </w:r>
    </w:p>
    <w:p w:rsidR="00831263" w:rsidRDefault="00831263" w:rsidP="00831263">
      <w:pPr>
        <w:rPr>
          <w:color w:val="222222"/>
        </w:rPr>
      </w:pPr>
      <w:r>
        <w:rPr>
          <w:color w:val="222222"/>
          <w:highlight w:val="white"/>
        </w:rPr>
        <w:t xml:space="preserve">Adresování s maskou podsítě proměnné délky = (Variable-Length Subnet Mask, </w:t>
      </w:r>
      <w:r>
        <w:rPr>
          <w:b/>
          <w:highlight w:val="white"/>
        </w:rPr>
        <w:t>VLSM</w:t>
      </w:r>
      <w:r>
        <w:rPr>
          <w:color w:val="222222"/>
          <w:highlight w:val="white"/>
        </w:rPr>
        <w:t xml:space="preserve">). </w:t>
      </w:r>
    </w:p>
    <w:p w:rsidR="00F46B6F" w:rsidRDefault="00474C3D" w:rsidP="00F46B6F">
      <w:r>
        <w:t>Adresa</w:t>
      </w:r>
      <w:r w:rsidR="00636E73">
        <w:t>:</w:t>
      </w:r>
      <w:r>
        <w:tab/>
        <w:t>192.168.242.158</w:t>
      </w:r>
    </w:p>
    <w:p w:rsidR="00F46B6F" w:rsidRDefault="00B15DE0" w:rsidP="00F46B6F"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D112EA" wp14:editId="10CF68DD">
                <wp:simplePos x="0" y="0"/>
                <wp:positionH relativeFrom="column">
                  <wp:posOffset>1360805</wp:posOffset>
                </wp:positionH>
                <wp:positionV relativeFrom="paragraph">
                  <wp:posOffset>189230</wp:posOffset>
                </wp:positionV>
                <wp:extent cx="735330" cy="540703"/>
                <wp:effectExtent l="0" t="0" r="26670" b="0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" cy="540703"/>
                          <a:chOff x="0" y="0"/>
                          <a:chExt cx="735330" cy="540703"/>
                        </a:xfrm>
                      </wpg:grpSpPr>
                      <wps:wsp>
                        <wps:cNvPr id="2" name="Levá složená závorka 2"/>
                        <wps:cNvSpPr>
                          <a:spLocks/>
                        </wps:cNvSpPr>
                        <wps:spPr bwMode="auto">
                          <a:xfrm rot="16200000">
                            <a:off x="272415" y="-272415"/>
                            <a:ext cx="190500" cy="735330"/>
                          </a:xfrm>
                          <a:prstGeom prst="leftBrace">
                            <a:avLst>
                              <a:gd name="adj1" fmla="val 3216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ové pole 3"/>
                        <wps:cNvSpPr txBox="1">
                          <a:spLocks noChangeArrowheads="1"/>
                        </wps:cNvSpPr>
                        <wps:spPr bwMode="auto">
                          <a:xfrm>
                            <a:off x="77152" y="246698"/>
                            <a:ext cx="604520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6B6F" w:rsidRDefault="00F46B6F" w:rsidP="00474C3D">
                              <w:pPr>
                                <w:ind w:firstLine="0"/>
                              </w:pPr>
                              <w:r>
                                <w:t>NET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112EA" id="Skupina 7" o:spid="_x0000_s1026" style="position:absolute;left:0;text-align:left;margin-left:107.15pt;margin-top:14.9pt;width:57.9pt;height:42.6pt;z-index:251662336" coordsize="7353,5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vá složená závorka 2" o:spid="_x0000_s1027" type="#_x0000_t87" style="position:absolute;left:2724;top:-2724;width:1905;height:735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" o:spid="_x0000_s1028" type="#_x0000_t202" style="position:absolute;left:771;top:2466;width:6045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F46B6F" w:rsidRDefault="00F46B6F" w:rsidP="00474C3D">
                        <w:pPr>
                          <w:ind w:firstLine="0"/>
                        </w:pPr>
                        <w:r>
                          <w:t>NET 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30C4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B13D625" wp14:editId="130AF9C6">
                <wp:simplePos x="0" y="0"/>
                <wp:positionH relativeFrom="column">
                  <wp:posOffset>2098040</wp:posOffset>
                </wp:positionH>
                <wp:positionV relativeFrom="paragraph">
                  <wp:posOffset>185363</wp:posOffset>
                </wp:positionV>
                <wp:extent cx="781050" cy="523241"/>
                <wp:effectExtent l="0" t="0" r="0" b="0"/>
                <wp:wrapNone/>
                <wp:docPr id="8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523241"/>
                          <a:chOff x="0" y="0"/>
                          <a:chExt cx="781050" cy="523241"/>
                        </a:xfrm>
                      </wpg:grpSpPr>
                      <wps:wsp>
                        <wps:cNvPr id="5" name="Levá složená závorka 5"/>
                        <wps:cNvSpPr>
                          <a:spLocks/>
                        </wps:cNvSpPr>
                        <wps:spPr bwMode="auto">
                          <a:xfrm rot="16200000">
                            <a:off x="100013" y="-51752"/>
                            <a:ext cx="191135" cy="294640"/>
                          </a:xfrm>
                          <a:prstGeom prst="leftBrace">
                            <a:avLst>
                              <a:gd name="adj1" fmla="val 1284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ové pole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9236"/>
                            <a:ext cx="781050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DE0" w:rsidRDefault="00F46B6F" w:rsidP="00474C3D">
                              <w:pPr>
                                <w:ind w:firstLine="0"/>
                              </w:pPr>
                              <w:r>
                                <w:t>HOST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3D625" id="Skupina 8" o:spid="_x0000_s1029" style="position:absolute;left:0;text-align:left;margin-left:165.2pt;margin-top:14.6pt;width:61.5pt;height:41.2pt;z-index:251664384" coordsize="7810,5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">
                <v:shape id="Levá složená závorka 5" o:spid="_x0000_s1030" type="#_x0000_t87" style="position:absolute;left:1000;top:-518;width:1911;height:294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"/>
                <v:shape id="Textové pole 4" o:spid="_x0000_s1031" type="#_x0000_t202" style="position:absolute;top:2292;width:7810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B15DE0" w:rsidRDefault="00F46B6F" w:rsidP="00474C3D">
                        <w:pPr>
                          <w:ind w:firstLine="0"/>
                        </w:pPr>
                        <w:r>
                          <w:t>HOST 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6B6F">
        <w:tab/>
      </w:r>
      <w:r>
        <w:tab/>
      </w:r>
      <w:r w:rsidR="00F46B6F">
        <w:t>255.255.255.0</w:t>
      </w:r>
      <w:r w:rsidR="000830C4">
        <w:t>00</w:t>
      </w:r>
    </w:p>
    <w:p w:rsidR="00F46B6F" w:rsidRDefault="00F46B6F" w:rsidP="00F46B6F"/>
    <w:p w:rsidR="00F46B6F" w:rsidRDefault="00F46B6F" w:rsidP="00F46B6F"/>
    <w:p w:rsidR="00CC4031" w:rsidRDefault="00CC4031">
      <w:pPr>
        <w:spacing w:after="160" w:line="259" w:lineRule="auto"/>
        <w:ind w:firstLine="0"/>
        <w:jc w:val="left"/>
      </w:pPr>
      <w:r>
        <w:br w:type="page"/>
      </w:r>
    </w:p>
    <w:p w:rsidR="00831263" w:rsidRDefault="00831263" w:rsidP="00831263">
      <w:pPr>
        <w:pStyle w:val="Nadpis5"/>
      </w:pPr>
      <w:bookmarkStart w:id="4" w:name="h.ndhxvfoaydkh" w:colFirst="0" w:colLast="0"/>
      <w:bookmarkEnd w:id="4"/>
      <w:r>
        <w:lastRenderedPageBreak/>
        <w:t>Třídy:</w:t>
      </w:r>
    </w:p>
    <w:tbl>
      <w:tblPr>
        <w:tblW w:w="10967" w:type="dxa"/>
        <w:tblInd w:w="80" w:type="dxa"/>
        <w:tblBorders>
          <w:top w:val="single" w:sz="8" w:space="0" w:color="4183CE"/>
          <w:left w:val="single" w:sz="8" w:space="0" w:color="4183CE"/>
          <w:bottom w:val="single" w:sz="8" w:space="0" w:color="4183CE"/>
          <w:right w:val="single" w:sz="8" w:space="0" w:color="4183CE"/>
          <w:insideH w:val="single" w:sz="8" w:space="0" w:color="4183CE"/>
          <w:insideV w:val="single" w:sz="8" w:space="0" w:color="4183CE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  <w:gridCol w:w="1881"/>
        <w:gridCol w:w="1842"/>
        <w:gridCol w:w="1985"/>
        <w:gridCol w:w="1417"/>
        <w:gridCol w:w="2552"/>
      </w:tblGrid>
      <w:tr w:rsidR="001B1B32" w:rsidTr="00F64AA5">
        <w:trPr>
          <w:trHeight w:val="320"/>
        </w:trPr>
        <w:tc>
          <w:tcPr>
            <w:tcW w:w="1290" w:type="dxa"/>
            <w:shd w:val="clear" w:color="auto" w:fill="7DAAD7"/>
            <w:tcMar>
              <w:top w:w="100" w:type="dxa"/>
              <w:left w:w="80" w:type="dxa"/>
              <w:bottom w:w="60" w:type="dxa"/>
              <w:right w:w="80" w:type="dxa"/>
            </w:tcMar>
            <w:vAlign w:val="center"/>
          </w:tcPr>
          <w:p w:rsidR="001B1B32" w:rsidRDefault="001B1B32" w:rsidP="00F64AA5">
            <w:pPr>
              <w:pStyle w:val="Tabulka"/>
            </w:pPr>
            <w:r>
              <w:rPr>
                <w:rFonts w:eastAsia="Courier New"/>
                <w:shd w:val="clear" w:color="auto" w:fill="7DAAD7"/>
              </w:rPr>
              <w:t>Třída</w:t>
            </w:r>
          </w:p>
        </w:tc>
        <w:tc>
          <w:tcPr>
            <w:tcW w:w="1881" w:type="dxa"/>
            <w:shd w:val="clear" w:color="auto" w:fill="7DAAD7"/>
            <w:tcMar>
              <w:top w:w="100" w:type="dxa"/>
              <w:left w:w="80" w:type="dxa"/>
              <w:bottom w:w="60" w:type="dxa"/>
              <w:right w:w="80" w:type="dxa"/>
            </w:tcMar>
            <w:vAlign w:val="center"/>
          </w:tcPr>
          <w:p w:rsidR="001B1B32" w:rsidRDefault="001B1B32" w:rsidP="00F64AA5">
            <w:pPr>
              <w:pStyle w:val="Tabulka"/>
            </w:pPr>
            <w:r>
              <w:rPr>
                <w:rFonts w:eastAsia="Courier New"/>
                <w:shd w:val="clear" w:color="auto" w:fill="7DAAD7"/>
              </w:rPr>
              <w:t>První</w:t>
            </w:r>
          </w:p>
        </w:tc>
        <w:tc>
          <w:tcPr>
            <w:tcW w:w="1842" w:type="dxa"/>
            <w:shd w:val="clear" w:color="auto" w:fill="7DAAD7"/>
            <w:vAlign w:val="center"/>
          </w:tcPr>
          <w:p w:rsidR="001B1B32" w:rsidRPr="001B1B32" w:rsidRDefault="001B1B32" w:rsidP="00F64AA5">
            <w:pPr>
              <w:pStyle w:val="Tabulka"/>
            </w:pPr>
            <w:r>
              <w:t>Poslední adresa</w:t>
            </w:r>
          </w:p>
        </w:tc>
        <w:tc>
          <w:tcPr>
            <w:tcW w:w="1985" w:type="dxa"/>
            <w:shd w:val="clear" w:color="auto" w:fill="7DAAD7"/>
            <w:tcMar>
              <w:top w:w="100" w:type="dxa"/>
              <w:left w:w="80" w:type="dxa"/>
              <w:bottom w:w="60" w:type="dxa"/>
              <w:right w:w="80" w:type="dxa"/>
            </w:tcMar>
            <w:vAlign w:val="center"/>
          </w:tcPr>
          <w:p w:rsidR="001B1B32" w:rsidRDefault="001B1B32" w:rsidP="00F64AA5">
            <w:pPr>
              <w:pStyle w:val="Tabulka"/>
            </w:pPr>
            <w:r>
              <w:rPr>
                <w:rFonts w:eastAsia="Courier New"/>
                <w:shd w:val="clear" w:color="auto" w:fill="7DAAD7"/>
              </w:rPr>
              <w:t>Maska</w:t>
            </w:r>
          </w:p>
        </w:tc>
        <w:tc>
          <w:tcPr>
            <w:tcW w:w="1417" w:type="dxa"/>
            <w:shd w:val="clear" w:color="auto" w:fill="7DAAD7"/>
            <w:tcMar>
              <w:top w:w="100" w:type="dxa"/>
              <w:left w:w="80" w:type="dxa"/>
              <w:bottom w:w="60" w:type="dxa"/>
              <w:right w:w="80" w:type="dxa"/>
            </w:tcMar>
            <w:vAlign w:val="center"/>
          </w:tcPr>
          <w:p w:rsidR="001B1B32" w:rsidRDefault="001B1B32" w:rsidP="00F64AA5">
            <w:pPr>
              <w:pStyle w:val="Tabulka"/>
            </w:pPr>
            <w:r>
              <w:rPr>
                <w:rFonts w:eastAsia="Courier New"/>
                <w:shd w:val="clear" w:color="auto" w:fill="7DAAD7"/>
              </w:rPr>
              <w:t>CIDR maska</w:t>
            </w:r>
          </w:p>
        </w:tc>
        <w:tc>
          <w:tcPr>
            <w:tcW w:w="2552" w:type="dxa"/>
            <w:shd w:val="clear" w:color="auto" w:fill="4183C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32" w:rsidRDefault="001B1B32" w:rsidP="00F64AA5">
            <w:pPr>
              <w:pStyle w:val="Tabulka"/>
            </w:pPr>
            <w:r>
              <w:rPr>
                <w:rFonts w:eastAsia="Courier New"/>
                <w:shd w:val="clear" w:color="auto" w:fill="4183CE"/>
              </w:rPr>
              <w:t>Počet sítí</w:t>
            </w:r>
          </w:p>
        </w:tc>
      </w:tr>
      <w:tr w:rsidR="001B1B32" w:rsidTr="00F64AA5">
        <w:trPr>
          <w:trHeight w:val="280"/>
        </w:trPr>
        <w:tc>
          <w:tcPr>
            <w:tcW w:w="1290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class A</w:t>
            </w:r>
          </w:p>
        </w:tc>
        <w:tc>
          <w:tcPr>
            <w:tcW w:w="1881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0</w:t>
            </w:r>
            <w:r w:rsidR="00EF51B6">
              <w:rPr>
                <w:rFonts w:eastAsia="Courier New"/>
                <w:color w:val="000000" w:themeColor="text1"/>
                <w:highlight w:val="white"/>
              </w:rPr>
              <w:t>.0.0.0</w:t>
            </w:r>
          </w:p>
        </w:tc>
        <w:tc>
          <w:tcPr>
            <w:tcW w:w="1842" w:type="dxa"/>
            <w:vAlign w:val="center"/>
          </w:tcPr>
          <w:p w:rsidR="001B1B32" w:rsidRPr="00D100F3" w:rsidRDefault="00EF51B6" w:rsidP="00F64AA5">
            <w:pPr>
              <w:pStyle w:val="Tabulka"/>
              <w:rPr>
                <w:rFonts w:eastAsia="Courier New"/>
                <w:color w:val="000000" w:themeColor="text1"/>
                <w:highlight w:val="white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127.</w:t>
            </w:r>
            <w:r>
              <w:rPr>
                <w:rFonts w:eastAsia="Courier New"/>
                <w:color w:val="000000" w:themeColor="text1"/>
                <w:highlight w:val="white"/>
              </w:rPr>
              <w:t>255</w:t>
            </w:r>
            <w:r w:rsidRPr="00D100F3">
              <w:rPr>
                <w:rFonts w:eastAsia="Courier New"/>
                <w:color w:val="000000" w:themeColor="text1"/>
                <w:highlight w:val="white"/>
              </w:rPr>
              <w:t>.</w:t>
            </w:r>
            <w:r>
              <w:rPr>
                <w:rFonts w:eastAsia="Courier New"/>
                <w:color w:val="000000" w:themeColor="text1"/>
                <w:highlight w:val="white"/>
              </w:rPr>
              <w:t xml:space="preserve"> 255</w:t>
            </w:r>
            <w:r w:rsidRPr="00D100F3">
              <w:rPr>
                <w:rFonts w:eastAsia="Courier New"/>
                <w:color w:val="000000" w:themeColor="text1"/>
                <w:highlight w:val="white"/>
              </w:rPr>
              <w:t>.</w:t>
            </w:r>
            <w:r>
              <w:rPr>
                <w:rFonts w:eastAsia="Courier New"/>
                <w:color w:val="000000" w:themeColor="text1"/>
                <w:highlight w:val="white"/>
              </w:rPr>
              <w:t xml:space="preserve"> 255</w:t>
            </w:r>
          </w:p>
        </w:tc>
        <w:tc>
          <w:tcPr>
            <w:tcW w:w="1985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255.0.0.0</w:t>
            </w:r>
          </w:p>
        </w:tc>
        <w:tc>
          <w:tcPr>
            <w:tcW w:w="1417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/8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32" w:rsidRPr="00D100F3" w:rsidRDefault="00A940EA" w:rsidP="00F64AA5">
            <w:pPr>
              <w:pStyle w:val="Tabulka"/>
              <w:rPr>
                <w:color w:val="000000" w:themeColor="text1"/>
              </w:rPr>
            </w:pPr>
            <w:r>
              <w:rPr>
                <w:rFonts w:eastAsia="Courier New"/>
                <w:color w:val="000000" w:themeColor="text1"/>
                <w:sz w:val="20"/>
                <w:highlight w:val="white"/>
              </w:rPr>
              <w:t>128</w:t>
            </w:r>
            <w:r w:rsidR="001B1B32" w:rsidRPr="00D100F3">
              <w:rPr>
                <w:rFonts w:eastAsia="Courier New"/>
                <w:color w:val="000000" w:themeColor="text1"/>
                <w:sz w:val="20"/>
                <w:highlight w:val="white"/>
              </w:rPr>
              <w:br/>
              <w:t xml:space="preserve">(stanic v síti </w:t>
            </w:r>
            <w:r w:rsidR="00986C47">
              <w:rPr>
                <w:rFonts w:eastAsia="Courier New"/>
                <w:color w:val="000000" w:themeColor="text1"/>
                <w:sz w:val="20"/>
                <w:highlight w:val="white"/>
              </w:rPr>
              <w:t>–</w:t>
            </w:r>
            <w:r w:rsidR="001B1B32" w:rsidRPr="00D100F3">
              <w:rPr>
                <w:rFonts w:eastAsia="Courier New"/>
                <w:color w:val="000000" w:themeColor="text1"/>
                <w:sz w:val="20"/>
                <w:highlight w:val="white"/>
              </w:rPr>
              <w:t xml:space="preserve"> 16</w:t>
            </w:r>
            <w:r w:rsidR="00986C47">
              <w:rPr>
                <w:rFonts w:eastAsia="Courier New"/>
                <w:color w:val="000000" w:themeColor="text1"/>
                <w:sz w:val="20"/>
                <w:highlight w:val="white"/>
              </w:rPr>
              <w:t> </w:t>
            </w:r>
            <w:r w:rsidR="001B1B32" w:rsidRPr="00D100F3">
              <w:rPr>
                <w:rFonts w:eastAsia="Courier New"/>
                <w:color w:val="000000" w:themeColor="text1"/>
                <w:sz w:val="20"/>
                <w:highlight w:val="white"/>
              </w:rPr>
              <w:t>777</w:t>
            </w:r>
            <w:r w:rsidR="00986C47">
              <w:rPr>
                <w:rFonts w:eastAsia="Courier New"/>
                <w:color w:val="000000" w:themeColor="text1"/>
                <w:sz w:val="20"/>
                <w:highlight w:val="white"/>
              </w:rPr>
              <w:t xml:space="preserve"> </w:t>
            </w:r>
            <w:r w:rsidR="001B1B32" w:rsidRPr="00D100F3">
              <w:rPr>
                <w:rFonts w:eastAsia="Courier New"/>
                <w:color w:val="000000" w:themeColor="text1"/>
                <w:sz w:val="20"/>
                <w:highlight w:val="white"/>
              </w:rPr>
              <w:t>214)</w:t>
            </w:r>
          </w:p>
        </w:tc>
      </w:tr>
      <w:tr w:rsidR="001B1B32" w:rsidTr="00F64AA5">
        <w:tc>
          <w:tcPr>
            <w:tcW w:w="1290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class B</w:t>
            </w:r>
          </w:p>
        </w:tc>
        <w:tc>
          <w:tcPr>
            <w:tcW w:w="1881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D502FA" w:rsidP="00F64AA5">
            <w:pPr>
              <w:pStyle w:val="Tabulka"/>
              <w:rPr>
                <w:color w:val="000000" w:themeColor="text1"/>
              </w:rPr>
            </w:pPr>
            <w:r>
              <w:rPr>
                <w:rFonts w:eastAsia="Courier New"/>
                <w:color w:val="000000" w:themeColor="text1"/>
                <w:highlight w:val="white"/>
              </w:rPr>
              <w:t>128</w:t>
            </w:r>
            <w:r>
              <w:rPr>
                <w:rFonts w:eastAsia="Courier New"/>
                <w:color w:val="000000" w:themeColor="text1"/>
              </w:rPr>
              <w:t>.0.0.0</w:t>
            </w:r>
          </w:p>
        </w:tc>
        <w:tc>
          <w:tcPr>
            <w:tcW w:w="1842" w:type="dxa"/>
            <w:vAlign w:val="center"/>
          </w:tcPr>
          <w:p w:rsidR="001B1B32" w:rsidRPr="00D100F3" w:rsidRDefault="00963F29" w:rsidP="00F64AA5">
            <w:pPr>
              <w:pStyle w:val="Tabulka"/>
              <w:rPr>
                <w:rFonts w:eastAsia="Courier New"/>
                <w:color w:val="000000" w:themeColor="text1"/>
                <w:highlight w:val="white"/>
              </w:rPr>
            </w:pPr>
            <w:r>
              <w:rPr>
                <w:rFonts w:eastAsia="Courier New"/>
                <w:color w:val="000000" w:themeColor="text1"/>
                <w:highlight w:val="white"/>
              </w:rPr>
              <w:t>191.255.255.255</w:t>
            </w:r>
          </w:p>
        </w:tc>
        <w:tc>
          <w:tcPr>
            <w:tcW w:w="1985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255.255.0.0</w:t>
            </w:r>
          </w:p>
        </w:tc>
        <w:tc>
          <w:tcPr>
            <w:tcW w:w="1417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/16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32" w:rsidRPr="00D100F3" w:rsidRDefault="00AA25C9" w:rsidP="00F64AA5">
            <w:pPr>
              <w:pStyle w:val="Tabulka"/>
              <w:rPr>
                <w:color w:val="000000" w:themeColor="text1"/>
              </w:rPr>
            </w:pPr>
            <w:r>
              <w:rPr>
                <w:rFonts w:eastAsia="Courier New"/>
                <w:color w:val="000000" w:themeColor="text1"/>
                <w:sz w:val="20"/>
                <w:highlight w:val="white"/>
              </w:rPr>
              <w:t>16 384</w:t>
            </w:r>
          </w:p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sz w:val="20"/>
                <w:highlight w:val="white"/>
              </w:rPr>
              <w:t xml:space="preserve">(stanic v síti </w:t>
            </w:r>
            <w:r w:rsidR="00986C47">
              <w:rPr>
                <w:rFonts w:eastAsia="Courier New"/>
                <w:color w:val="000000" w:themeColor="text1"/>
                <w:sz w:val="20"/>
                <w:highlight w:val="white"/>
              </w:rPr>
              <w:t>–</w:t>
            </w:r>
            <w:r w:rsidRPr="00D100F3">
              <w:rPr>
                <w:rFonts w:eastAsia="Courier New"/>
                <w:color w:val="000000" w:themeColor="text1"/>
                <w:sz w:val="20"/>
                <w:highlight w:val="white"/>
              </w:rPr>
              <w:t xml:space="preserve"> 65</w:t>
            </w:r>
            <w:r w:rsidR="00986C47">
              <w:rPr>
                <w:rFonts w:eastAsia="Courier New"/>
                <w:color w:val="000000" w:themeColor="text1"/>
                <w:sz w:val="20"/>
                <w:highlight w:val="white"/>
              </w:rPr>
              <w:t xml:space="preserve"> </w:t>
            </w:r>
            <w:r w:rsidRPr="00D100F3">
              <w:rPr>
                <w:rFonts w:eastAsia="Courier New"/>
                <w:color w:val="000000" w:themeColor="text1"/>
                <w:sz w:val="20"/>
                <w:highlight w:val="white"/>
              </w:rPr>
              <w:t>534)</w:t>
            </w:r>
          </w:p>
        </w:tc>
      </w:tr>
      <w:tr w:rsidR="001B1B32" w:rsidTr="00F64AA5">
        <w:tc>
          <w:tcPr>
            <w:tcW w:w="1290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class C</w:t>
            </w:r>
          </w:p>
        </w:tc>
        <w:tc>
          <w:tcPr>
            <w:tcW w:w="1881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192</w:t>
            </w:r>
            <w:r w:rsidR="004F10D7">
              <w:rPr>
                <w:rFonts w:eastAsia="Courier New"/>
                <w:color w:val="000000" w:themeColor="text1"/>
              </w:rPr>
              <w:t>.0.0.0</w:t>
            </w:r>
          </w:p>
        </w:tc>
        <w:tc>
          <w:tcPr>
            <w:tcW w:w="1842" w:type="dxa"/>
            <w:vAlign w:val="center"/>
          </w:tcPr>
          <w:p w:rsidR="001B1B32" w:rsidRPr="00D100F3" w:rsidRDefault="003C6D68" w:rsidP="00F64AA5">
            <w:pPr>
              <w:pStyle w:val="Tabulka"/>
              <w:rPr>
                <w:rFonts w:eastAsia="Courier New"/>
                <w:color w:val="000000" w:themeColor="text1"/>
                <w:highlight w:val="white"/>
              </w:rPr>
            </w:pPr>
            <w:r>
              <w:rPr>
                <w:rFonts w:eastAsia="Courier New"/>
                <w:color w:val="000000" w:themeColor="text1"/>
                <w:highlight w:val="white"/>
              </w:rPr>
              <w:t>223.255.255.255</w:t>
            </w:r>
          </w:p>
        </w:tc>
        <w:tc>
          <w:tcPr>
            <w:tcW w:w="1985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255.255.255.0</w:t>
            </w:r>
          </w:p>
        </w:tc>
        <w:tc>
          <w:tcPr>
            <w:tcW w:w="1417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/24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sz w:val="20"/>
                <w:highlight w:val="white"/>
              </w:rPr>
              <w:t>2 097 152</w:t>
            </w:r>
            <w:r w:rsidRPr="00D100F3">
              <w:rPr>
                <w:rFonts w:eastAsia="Courier New"/>
                <w:color w:val="000000" w:themeColor="text1"/>
                <w:sz w:val="20"/>
                <w:highlight w:val="white"/>
              </w:rPr>
              <w:br/>
              <w:t>(stanic v síti - 254)</w:t>
            </w:r>
          </w:p>
        </w:tc>
      </w:tr>
      <w:tr w:rsidR="001B1B32" w:rsidTr="00F64AA5">
        <w:tc>
          <w:tcPr>
            <w:tcW w:w="1290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class D</w:t>
            </w:r>
          </w:p>
        </w:tc>
        <w:tc>
          <w:tcPr>
            <w:tcW w:w="1881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224</w:t>
            </w:r>
            <w:r w:rsidR="004F10D7">
              <w:rPr>
                <w:rFonts w:eastAsia="Courier New"/>
                <w:color w:val="000000" w:themeColor="text1"/>
              </w:rPr>
              <w:t>.0.0.0</w:t>
            </w:r>
          </w:p>
        </w:tc>
        <w:tc>
          <w:tcPr>
            <w:tcW w:w="1842" w:type="dxa"/>
            <w:vAlign w:val="center"/>
          </w:tcPr>
          <w:p w:rsidR="001B1B32" w:rsidRPr="00D100F3" w:rsidRDefault="00535DFA" w:rsidP="00F64AA5">
            <w:pPr>
              <w:pStyle w:val="Tabulka"/>
              <w:rPr>
                <w:rFonts w:eastAsia="Courier New"/>
                <w:color w:val="000000" w:themeColor="text1"/>
                <w:highlight w:val="white"/>
              </w:rPr>
            </w:pPr>
            <w:r>
              <w:rPr>
                <w:rFonts w:eastAsia="Courier New"/>
                <w:color w:val="000000" w:themeColor="text1"/>
                <w:highlight w:val="white"/>
              </w:rPr>
              <w:t>239.255.255.255</w:t>
            </w:r>
          </w:p>
        </w:tc>
        <w:tc>
          <w:tcPr>
            <w:tcW w:w="1985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255.255.255.255</w:t>
            </w:r>
          </w:p>
        </w:tc>
        <w:tc>
          <w:tcPr>
            <w:tcW w:w="1417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/32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ascii="Calibri" w:eastAsia="Calibri" w:hAnsi="Calibri" w:cs="Calibri"/>
                <w:color w:val="000000" w:themeColor="text1"/>
                <w:highlight w:val="white"/>
              </w:rPr>
              <w:t>Pro multicasting</w:t>
            </w:r>
          </w:p>
        </w:tc>
      </w:tr>
      <w:tr w:rsidR="001B1B32" w:rsidTr="00F64AA5">
        <w:tc>
          <w:tcPr>
            <w:tcW w:w="1290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class E</w:t>
            </w:r>
          </w:p>
        </w:tc>
        <w:tc>
          <w:tcPr>
            <w:tcW w:w="1881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4F10D7" w:rsidP="00F64AA5">
            <w:pPr>
              <w:pStyle w:val="Tabulka"/>
              <w:rPr>
                <w:color w:val="000000" w:themeColor="text1"/>
              </w:rPr>
            </w:pPr>
            <w:r>
              <w:rPr>
                <w:rFonts w:eastAsia="Courier New"/>
                <w:color w:val="000000" w:themeColor="text1"/>
                <w:highlight w:val="white"/>
              </w:rPr>
              <w:t>240</w:t>
            </w:r>
            <w:r>
              <w:rPr>
                <w:rFonts w:eastAsia="Courier New"/>
                <w:color w:val="000000" w:themeColor="text1"/>
              </w:rPr>
              <w:t>.0.0.0</w:t>
            </w:r>
          </w:p>
        </w:tc>
        <w:tc>
          <w:tcPr>
            <w:tcW w:w="1842" w:type="dxa"/>
            <w:vAlign w:val="center"/>
          </w:tcPr>
          <w:p w:rsidR="001B1B32" w:rsidRPr="00D100F3" w:rsidRDefault="00981066" w:rsidP="00F64AA5">
            <w:pPr>
              <w:pStyle w:val="Tabulka"/>
              <w:rPr>
                <w:rFonts w:eastAsia="Courier New"/>
                <w:color w:val="000000" w:themeColor="text1"/>
                <w:highlight w:val="white"/>
              </w:rPr>
            </w:pPr>
            <w:r>
              <w:rPr>
                <w:rFonts w:eastAsia="Courier New"/>
                <w:color w:val="000000" w:themeColor="text1"/>
                <w:highlight w:val="white"/>
              </w:rPr>
              <w:t>255.255.255.255</w:t>
            </w:r>
          </w:p>
        </w:tc>
        <w:tc>
          <w:tcPr>
            <w:tcW w:w="1985" w:type="dxa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  <w:r w:rsidRPr="00D100F3">
              <w:rPr>
                <w:rFonts w:eastAsia="Courier New"/>
                <w:color w:val="000000" w:themeColor="text1"/>
                <w:highlight w:val="white"/>
              </w:rPr>
              <w:t>rezervováno</w:t>
            </w:r>
          </w:p>
        </w:tc>
        <w:tc>
          <w:tcPr>
            <w:tcW w:w="1417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1B32" w:rsidRPr="00D100F3" w:rsidRDefault="001B1B32" w:rsidP="00F64AA5">
            <w:pPr>
              <w:pStyle w:val="Tabulka"/>
              <w:rPr>
                <w:color w:val="000000" w:themeColor="text1"/>
              </w:rPr>
            </w:pPr>
          </w:p>
        </w:tc>
      </w:tr>
    </w:tbl>
    <w:p w:rsidR="00831263" w:rsidRDefault="00831263" w:rsidP="00831263"/>
    <w:p w:rsidR="00831263" w:rsidRDefault="00831263" w:rsidP="001B1B32">
      <w:r>
        <w:rPr>
          <w:highlight w:val="white"/>
        </w:rPr>
        <w:t xml:space="preserve">Rozsah od </w:t>
      </w:r>
      <w:r>
        <w:rPr>
          <w:b/>
          <w:highlight w:val="white"/>
        </w:rPr>
        <w:t>224.0.0.0</w:t>
      </w:r>
      <w:r>
        <w:rPr>
          <w:highlight w:val="white"/>
        </w:rPr>
        <w:t xml:space="preserve"> do </w:t>
      </w:r>
      <w:r>
        <w:rPr>
          <w:b/>
          <w:highlight w:val="white"/>
        </w:rPr>
        <w:t>239.255.255.255</w:t>
      </w:r>
      <w:r>
        <w:rPr>
          <w:highlight w:val="white"/>
        </w:rPr>
        <w:t xml:space="preserve"> je zařazen do třídy D. Tato třída</w:t>
      </w:r>
      <w:r w:rsidR="001B1B32">
        <w:rPr>
          <w:highlight w:val="white"/>
        </w:rPr>
        <w:t xml:space="preserve"> je využívána pro </w:t>
      </w:r>
      <w:r>
        <w:rPr>
          <w:highlight w:val="white"/>
        </w:rPr>
        <w:t>hr</w:t>
      </w:r>
      <w:r w:rsidR="009620A7">
        <w:rPr>
          <w:highlight w:val="white"/>
        </w:rPr>
        <w:t>omadné vysílání</w:t>
      </w:r>
      <w:r>
        <w:rPr>
          <w:highlight w:val="white"/>
        </w:rPr>
        <w:t>.</w:t>
      </w:r>
    </w:p>
    <w:p w:rsidR="00831263" w:rsidRDefault="00831263" w:rsidP="007E3C6C">
      <w:r>
        <w:rPr>
          <w:highlight w:val="white"/>
        </w:rPr>
        <w:t xml:space="preserve">Rozsah od </w:t>
      </w:r>
      <w:r>
        <w:rPr>
          <w:b/>
          <w:highlight w:val="white"/>
        </w:rPr>
        <w:t>240.0.0.0</w:t>
      </w:r>
      <w:r>
        <w:rPr>
          <w:highlight w:val="white"/>
        </w:rPr>
        <w:t xml:space="preserve"> do </w:t>
      </w:r>
      <w:r>
        <w:rPr>
          <w:b/>
          <w:highlight w:val="white"/>
        </w:rPr>
        <w:t>2</w:t>
      </w:r>
      <w:r w:rsidR="00D86D27">
        <w:rPr>
          <w:b/>
          <w:highlight w:val="white"/>
        </w:rPr>
        <w:t>55</w:t>
      </w:r>
      <w:r>
        <w:rPr>
          <w:b/>
          <w:highlight w:val="white"/>
        </w:rPr>
        <w:t>.255.255.255</w:t>
      </w:r>
      <w:r>
        <w:rPr>
          <w:highlight w:val="white"/>
        </w:rPr>
        <w:t xml:space="preserve"> patří do třídy E. Tyto hodnoty jsou rezervovány pro další použití a pro experimentální účely.</w:t>
      </w:r>
    </w:p>
    <w:p w:rsidR="00831263" w:rsidRDefault="00831263" w:rsidP="002A2DED">
      <w:r>
        <w:rPr>
          <w:b/>
          <w:highlight w:val="white"/>
        </w:rPr>
        <w:t>127.0.0.0</w:t>
      </w:r>
      <w:r>
        <w:rPr>
          <w:highlight w:val="white"/>
        </w:rPr>
        <w:t xml:space="preserve"> nebo </w:t>
      </w:r>
      <w:r>
        <w:rPr>
          <w:b/>
          <w:highlight w:val="white"/>
        </w:rPr>
        <w:t>127.0.0.1</w:t>
      </w:r>
      <w:r>
        <w:rPr>
          <w:highlight w:val="white"/>
        </w:rPr>
        <w:t xml:space="preserve"> jsou určeny k testovacím účelům. Nazývají se </w:t>
      </w:r>
      <w:r>
        <w:rPr>
          <w:b/>
          <w:highlight w:val="white"/>
        </w:rPr>
        <w:t>loopback adresy</w:t>
      </w:r>
      <w:r w:rsidR="00C03EBD">
        <w:rPr>
          <w:highlight w:val="white"/>
        </w:rPr>
        <w:t xml:space="preserve">, Doménové jméno </w:t>
      </w:r>
      <w:r w:rsidR="00C03EBD" w:rsidRPr="00C03EBD">
        <w:rPr>
          <w:rStyle w:val="Nadpis3Char"/>
          <w:highlight w:val="white"/>
        </w:rPr>
        <w:t>Localhost</w:t>
      </w:r>
    </w:p>
    <w:p w:rsidR="00DF6912" w:rsidRDefault="00831263" w:rsidP="00DF6912">
      <w:r>
        <w:rPr>
          <w:highlight w:val="white"/>
        </w:rPr>
        <w:t xml:space="preserve">Interní (neveřejné) IP adresy (tzv. </w:t>
      </w:r>
      <w:r>
        <w:rPr>
          <w:i/>
          <w:highlight w:val="white"/>
        </w:rPr>
        <w:t>privátní IP adresy</w:t>
      </w:r>
      <w:r>
        <w:rPr>
          <w:highlight w:val="white"/>
        </w:rPr>
        <w:t>), které se používají pouze pro adresování vnitřních sítí (např. lokálních), na Internetu se nikdy nemohou objevit. Jako neveřejné jsou určeny adresy:</w:t>
      </w:r>
    </w:p>
    <w:p w:rsidR="00DA6C1A" w:rsidRPr="00DA6C1A" w:rsidRDefault="00BC12B0" w:rsidP="00DA6C1A">
      <w:pPr>
        <w:pStyle w:val="Odstavecseseznamem"/>
        <w:numPr>
          <w:ilvl w:val="0"/>
          <w:numId w:val="4"/>
        </w:numPr>
      </w:pPr>
      <w:r w:rsidRPr="00BC12B0">
        <w:rPr>
          <w:highlight w:val="white"/>
        </w:rPr>
        <w:t>V</w:t>
      </w:r>
      <w:r w:rsidR="00831263" w:rsidRPr="00BC12B0">
        <w:rPr>
          <w:highlight w:val="white"/>
        </w:rPr>
        <w:t xml:space="preserve">e třídě A: </w:t>
      </w:r>
      <w:r w:rsidR="00831263" w:rsidRPr="00D5463B">
        <w:rPr>
          <w:rStyle w:val="Nadpis3Char"/>
          <w:highlight w:val="white"/>
        </w:rPr>
        <w:t>10.0.0.0</w:t>
      </w:r>
      <w:r w:rsidR="00831263" w:rsidRPr="00BC12B0">
        <w:rPr>
          <w:highlight w:val="white"/>
        </w:rPr>
        <w:t xml:space="preserve"> až </w:t>
      </w:r>
      <w:r w:rsidR="00831263" w:rsidRPr="00D5463B">
        <w:rPr>
          <w:rStyle w:val="Nadpis3Char"/>
          <w:highlight w:val="white"/>
        </w:rPr>
        <w:t>10.255.255.255</w:t>
      </w:r>
    </w:p>
    <w:p w:rsidR="001E6037" w:rsidRPr="001E6037" w:rsidRDefault="00BC12B0" w:rsidP="001E6037">
      <w:pPr>
        <w:pStyle w:val="Odstavecseseznamem"/>
        <w:numPr>
          <w:ilvl w:val="0"/>
          <w:numId w:val="4"/>
        </w:numPr>
      </w:pPr>
      <w:r w:rsidRPr="00DA6C1A">
        <w:rPr>
          <w:highlight w:val="white"/>
        </w:rPr>
        <w:t xml:space="preserve">Ve </w:t>
      </w:r>
      <w:r w:rsidR="00831263" w:rsidRPr="00DA6C1A">
        <w:rPr>
          <w:highlight w:val="white"/>
        </w:rPr>
        <w:t xml:space="preserve">třídě B: </w:t>
      </w:r>
      <w:r w:rsidR="00831263" w:rsidRPr="00D5463B">
        <w:rPr>
          <w:rStyle w:val="Nadpis3Char"/>
          <w:highlight w:val="white"/>
        </w:rPr>
        <w:t>172.16.0.0</w:t>
      </w:r>
      <w:r w:rsidR="00831263" w:rsidRPr="00DA6C1A">
        <w:rPr>
          <w:highlight w:val="white"/>
        </w:rPr>
        <w:t xml:space="preserve"> až </w:t>
      </w:r>
      <w:r w:rsidR="00831263" w:rsidRPr="00D5463B">
        <w:rPr>
          <w:rStyle w:val="Nadpis3Char"/>
          <w:highlight w:val="white"/>
        </w:rPr>
        <w:t>172.31.255.255</w:t>
      </w:r>
    </w:p>
    <w:p w:rsidR="00831263" w:rsidRDefault="00BC12B0" w:rsidP="001E6037">
      <w:pPr>
        <w:pStyle w:val="Odstavecseseznamem"/>
        <w:numPr>
          <w:ilvl w:val="0"/>
          <w:numId w:val="4"/>
        </w:numPr>
      </w:pPr>
      <w:r w:rsidRPr="001E6037">
        <w:rPr>
          <w:highlight w:val="white"/>
        </w:rPr>
        <w:t xml:space="preserve">Ve </w:t>
      </w:r>
      <w:r w:rsidR="00831263" w:rsidRPr="001E6037">
        <w:rPr>
          <w:highlight w:val="white"/>
        </w:rPr>
        <w:t xml:space="preserve">třídě C: </w:t>
      </w:r>
      <w:r w:rsidR="00831263" w:rsidRPr="00D5463B">
        <w:rPr>
          <w:rStyle w:val="Nadpis3Char"/>
          <w:highlight w:val="white"/>
        </w:rPr>
        <w:t>192.168.0.0</w:t>
      </w:r>
      <w:r w:rsidR="00831263" w:rsidRPr="001E6037">
        <w:rPr>
          <w:highlight w:val="white"/>
        </w:rPr>
        <w:t xml:space="preserve"> až </w:t>
      </w:r>
      <w:r w:rsidR="00831263" w:rsidRPr="00D5463B">
        <w:rPr>
          <w:rStyle w:val="Nadpis3Char"/>
          <w:highlight w:val="white"/>
        </w:rPr>
        <w:t>192.168.255.255</w:t>
      </w:r>
    </w:p>
    <w:p w:rsidR="00831263" w:rsidRDefault="00831263" w:rsidP="00C22E2C">
      <w:r>
        <w:rPr>
          <w:b/>
          <w:highlight w:val="white"/>
        </w:rPr>
        <w:t>Síťové adresy</w:t>
      </w:r>
      <w:r>
        <w:rPr>
          <w:highlight w:val="white"/>
        </w:rPr>
        <w:t>, tj. adresy, jejichž host část obsahuje samé nuly. Tyto adresy jsou využívány IP protokolem ke správnému směrování paketů mezi sítěmi.</w:t>
      </w:r>
    </w:p>
    <w:p w:rsidR="00831263" w:rsidRDefault="00831263" w:rsidP="004A1A53">
      <w:r>
        <w:rPr>
          <w:rFonts w:ascii="Calibri" w:eastAsia="Calibri" w:hAnsi="Calibri" w:cs="Calibri"/>
          <w:b/>
          <w:highlight w:val="white"/>
        </w:rPr>
        <w:t>Broadcast adresa</w:t>
      </w:r>
      <w:r w:rsidR="00564593">
        <w:rPr>
          <w:rFonts w:ascii="Calibri" w:eastAsia="Calibri" w:hAnsi="Calibri" w:cs="Calibri"/>
          <w:b/>
          <w:highlight w:val="white"/>
        </w:rPr>
        <w:t xml:space="preserve"> </w:t>
      </w:r>
      <w:r w:rsidR="00564593">
        <w:rPr>
          <w:rFonts w:ascii="Calibri" w:eastAsia="Calibri" w:hAnsi="Calibri" w:cs="Calibri"/>
          <w:highlight w:val="white"/>
        </w:rPr>
        <w:t>–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b/>
          <w:highlight w:val="white"/>
        </w:rPr>
        <w:t>255.255.255.255</w:t>
      </w:r>
      <w:r>
        <w:rPr>
          <w:rFonts w:ascii="Calibri" w:eastAsia="Calibri" w:hAnsi="Calibri" w:cs="Calibri"/>
          <w:highlight w:val="white"/>
        </w:rPr>
        <w:t xml:space="preserve"> je určena všem hostům v dané síti. Používají se k hromadnému rozesílání paketů.</w:t>
      </w:r>
    </w:p>
    <w:p w:rsidR="00831263" w:rsidRDefault="001657E7" w:rsidP="004A1A53">
      <w:r>
        <w:rPr>
          <w:b/>
        </w:rPr>
        <w:t xml:space="preserve">Unicast </w:t>
      </w:r>
      <w:r w:rsidR="00831263">
        <w:t xml:space="preserve">- </w:t>
      </w:r>
      <w:r w:rsidR="005C1FE4">
        <w:t>D</w:t>
      </w:r>
      <w:r w:rsidR="00831263">
        <w:t>ata se pos</w:t>
      </w:r>
      <w:r w:rsidR="005C1FE4">
        <w:t>í</w:t>
      </w:r>
      <w:r w:rsidR="00831263">
        <w:t>laj</w:t>
      </w:r>
      <w:r w:rsidR="005C1FE4">
        <w:t>í</w:t>
      </w:r>
      <w:r w:rsidR="007C34AE">
        <w:t xml:space="preserve"> </w:t>
      </w:r>
      <w:r w:rsidR="009F2889">
        <w:t>jen na jeden počítač</w:t>
      </w:r>
      <w:r w:rsidR="00831263">
        <w:t xml:space="preserve">. </w:t>
      </w:r>
      <w:r w:rsidR="00AE6824">
        <w:t>Nejpoužívanější</w:t>
      </w:r>
      <w:r w:rsidR="00831263">
        <w:t xml:space="preserve"> </w:t>
      </w:r>
      <w:r w:rsidR="00AE6824">
        <w:t>způsob</w:t>
      </w:r>
      <w:r w:rsidR="00831263">
        <w:t xml:space="preserve"> na internetu.</w:t>
      </w:r>
    </w:p>
    <w:p w:rsidR="00831263" w:rsidRDefault="001657E7" w:rsidP="00831263">
      <w:r>
        <w:rPr>
          <w:b/>
        </w:rPr>
        <w:lastRenderedPageBreak/>
        <w:t xml:space="preserve">Broadcast </w:t>
      </w:r>
      <w:r w:rsidR="00B7430A">
        <w:t>–</w:t>
      </w:r>
      <w:r w:rsidR="00831263">
        <w:t xml:space="preserve"> </w:t>
      </w:r>
      <w:r w:rsidR="00B7430A">
        <w:t>D</w:t>
      </w:r>
      <w:r w:rsidR="00831263">
        <w:t>ata</w:t>
      </w:r>
      <w:r w:rsidR="00B7430A">
        <w:t xml:space="preserve"> </w:t>
      </w:r>
      <w:r w:rsidR="00831263">
        <w:t xml:space="preserve">se </w:t>
      </w:r>
      <w:r w:rsidR="00E2527D">
        <w:t>posílají</w:t>
      </w:r>
      <w:r w:rsidR="00831263">
        <w:t xml:space="preserve"> na </w:t>
      </w:r>
      <w:r w:rsidR="00E2527D">
        <w:t>všechny</w:t>
      </w:r>
      <w:r w:rsidR="00831263">
        <w:t xml:space="preserve"> </w:t>
      </w:r>
      <w:r w:rsidR="00E2527D">
        <w:t>počítače</w:t>
      </w:r>
      <w:r w:rsidR="00831263">
        <w:t xml:space="preserve"> v</w:t>
      </w:r>
      <w:r w:rsidR="00E2527D">
        <w:t> </w:t>
      </w:r>
      <w:r w:rsidR="00831263">
        <w:t>dosahu</w:t>
      </w:r>
      <w:r w:rsidR="00E2527D">
        <w:t xml:space="preserve"> </w:t>
      </w:r>
      <w:r w:rsidR="00831263">
        <w:t>(obvykle se jedn</w:t>
      </w:r>
      <w:r w:rsidR="00F30463">
        <w:t>á</w:t>
      </w:r>
      <w:r w:rsidR="00831263">
        <w:t xml:space="preserve"> o </w:t>
      </w:r>
      <w:r w:rsidR="00651301">
        <w:t>lokální</w:t>
      </w:r>
      <w:r w:rsidR="00831263">
        <w:t xml:space="preserve"> </w:t>
      </w:r>
      <w:r w:rsidR="00651301">
        <w:t>síť</w:t>
      </w:r>
      <w:r w:rsidR="00831263">
        <w:t xml:space="preserve">). </w:t>
      </w:r>
      <w:r w:rsidR="00287567">
        <w:t>Používají</w:t>
      </w:r>
      <w:r w:rsidR="00AE1A74">
        <w:t xml:space="preserve"> ho </w:t>
      </w:r>
      <w:r w:rsidR="00155699">
        <w:t>některé</w:t>
      </w:r>
      <w:r w:rsidR="00831263">
        <w:t xml:space="preserve"> </w:t>
      </w:r>
      <w:r w:rsidR="00155699">
        <w:t>chatovací</w:t>
      </w:r>
      <w:r w:rsidR="00831263">
        <w:t xml:space="preserve"> programy, nebo hry </w:t>
      </w:r>
      <w:r w:rsidR="00155699">
        <w:t>při</w:t>
      </w:r>
      <w:r w:rsidR="00831263">
        <w:t xml:space="preserve"> </w:t>
      </w:r>
      <w:r w:rsidR="00155699">
        <w:t>hledaní</w:t>
      </w:r>
      <w:r w:rsidR="00831263">
        <w:t xml:space="preserve"> serveru</w:t>
      </w:r>
      <w:r w:rsidR="00125249">
        <w:t xml:space="preserve"> </w:t>
      </w:r>
      <w:r w:rsidR="00831263">
        <w:t xml:space="preserve">(na lanu). DHCP a ARP ho </w:t>
      </w:r>
      <w:r w:rsidR="002032B2">
        <w:t>používají</w:t>
      </w:r>
      <w:r w:rsidR="00831263">
        <w:t xml:space="preserve"> taky.</w:t>
      </w:r>
    </w:p>
    <w:p w:rsidR="004841D1" w:rsidRDefault="001657E7" w:rsidP="00831263">
      <w:r>
        <w:rPr>
          <w:b/>
        </w:rPr>
        <w:t xml:space="preserve">Multicast </w:t>
      </w:r>
      <w:r w:rsidR="00E84A46">
        <w:t>– Existují</w:t>
      </w:r>
      <w:r w:rsidR="00CC091B">
        <w:t xml:space="preserve"> multicastové</w:t>
      </w:r>
      <w:r w:rsidR="00831263">
        <w:t xml:space="preserve"> skupiny</w:t>
      </w:r>
      <w:r w:rsidR="00CC091B">
        <w:t xml:space="preserve"> </w:t>
      </w:r>
      <w:r w:rsidR="00831263">
        <w:t xml:space="preserve">(IP </w:t>
      </w:r>
      <w:r w:rsidR="00A63927">
        <w:t>začíná</w:t>
      </w:r>
      <w:r w:rsidR="00831263">
        <w:t xml:space="preserve"> 1110), do </w:t>
      </w:r>
      <w:r w:rsidR="009D220E">
        <w:t>kterých</w:t>
      </w:r>
      <w:r w:rsidR="00831263">
        <w:t xml:space="preserve"> se lze </w:t>
      </w:r>
      <w:r w:rsidR="009D220E">
        <w:t>připojit</w:t>
      </w:r>
      <w:r w:rsidR="00831263">
        <w:t xml:space="preserve"> a </w:t>
      </w:r>
      <w:r w:rsidR="009D220E">
        <w:t>přijímat</w:t>
      </w:r>
      <w:r w:rsidR="00831263">
        <w:t xml:space="preserve"> </w:t>
      </w:r>
      <w:r w:rsidR="006D114D">
        <w:t>posílaná</w:t>
      </w:r>
      <w:r w:rsidR="00831263">
        <w:t xml:space="preserve"> data. </w:t>
      </w:r>
      <w:r w:rsidR="009D220E">
        <w:t>Výhoda</w:t>
      </w:r>
      <w:r w:rsidR="00831263">
        <w:t xml:space="preserve"> je v tom, </w:t>
      </w:r>
      <w:r w:rsidR="00296714">
        <w:t>ž</w:t>
      </w:r>
      <w:r w:rsidR="00831263">
        <w:t xml:space="preserve">e se data </w:t>
      </w:r>
      <w:r w:rsidR="000C17CD">
        <w:t>pošlou</w:t>
      </w:r>
      <w:r w:rsidR="00831263">
        <w:t xml:space="preserve"> jen jednou a pro </w:t>
      </w:r>
      <w:r w:rsidR="000C17CD">
        <w:t>jednotlivé</w:t>
      </w:r>
      <w:r w:rsidR="00831263">
        <w:t xml:space="preserve"> </w:t>
      </w:r>
      <w:r w:rsidR="000C17CD">
        <w:t>počítače</w:t>
      </w:r>
      <w:r w:rsidR="00831263">
        <w:t xml:space="preserve"> se </w:t>
      </w:r>
      <w:r w:rsidR="000C17CD">
        <w:t>větvi</w:t>
      </w:r>
      <w:r w:rsidR="00831263">
        <w:t xml:space="preserve"> </w:t>
      </w:r>
      <w:r w:rsidR="000C17CD">
        <w:t xml:space="preserve">dokud </w:t>
      </w:r>
      <w:r w:rsidR="00831263">
        <w:t xml:space="preserve">je </w:t>
      </w:r>
      <w:r w:rsidR="000C17CD">
        <w:t>potřeba</w:t>
      </w:r>
      <w:r w:rsidR="00350C12">
        <w:t xml:space="preserve"> </w:t>
      </w:r>
      <w:r w:rsidR="00350C12">
        <w:sym w:font="Wingdings" w:char="F0E0"/>
      </w:r>
      <w:r w:rsidR="00350C12">
        <w:t xml:space="preserve"> rychlejší</w:t>
      </w:r>
      <w:r w:rsidR="00831263">
        <w:t xml:space="preserve">. </w:t>
      </w:r>
      <w:r w:rsidR="003B3BDB">
        <w:t>Nevýhoda</w:t>
      </w:r>
      <w:r w:rsidR="00831263">
        <w:t xml:space="preserve"> je, </w:t>
      </w:r>
      <w:r w:rsidR="003B3BDB">
        <w:t>ž</w:t>
      </w:r>
      <w:r w:rsidR="00831263">
        <w:t xml:space="preserve">e server </w:t>
      </w:r>
      <w:r w:rsidR="003B3BDB">
        <w:t>neví</w:t>
      </w:r>
      <w:r w:rsidR="00831263">
        <w:t xml:space="preserve">, kdo </w:t>
      </w:r>
      <w:r w:rsidR="003B3BDB">
        <w:t>přijímá</w:t>
      </w:r>
      <w:r w:rsidR="00831263">
        <w:t xml:space="preserve"> a jestli data </w:t>
      </w:r>
      <w:r w:rsidR="003B3BDB">
        <w:t>došly</w:t>
      </w:r>
      <w:r w:rsidR="00831263">
        <w:t xml:space="preserve">. </w:t>
      </w:r>
      <w:r w:rsidR="003B3BDB">
        <w:t>Používá</w:t>
      </w:r>
      <w:r w:rsidR="00831263">
        <w:t xml:space="preserve"> se </w:t>
      </w:r>
      <w:r w:rsidR="003B3BDB">
        <w:t>např. pro streamování</w:t>
      </w:r>
      <w:r w:rsidR="00831263">
        <w:t xml:space="preserve"> videa.</w:t>
      </w:r>
    </w:p>
    <w:p w:rsidR="004841D1" w:rsidRDefault="004841D1" w:rsidP="004841D1">
      <w:r>
        <w:br w:type="page"/>
      </w:r>
    </w:p>
    <w:p w:rsidR="00831263" w:rsidRDefault="00831263" w:rsidP="00831263">
      <w:pPr>
        <w:pStyle w:val="Nadpis3"/>
      </w:pPr>
      <w:bookmarkStart w:id="5" w:name="h.vpm7ucsasja8" w:colFirst="0" w:colLast="0"/>
      <w:bookmarkEnd w:id="5"/>
      <w:r>
        <w:lastRenderedPageBreak/>
        <w:t>IP Aritmetika</w:t>
      </w:r>
    </w:p>
    <w:p w:rsidR="00831263" w:rsidRDefault="00831263" w:rsidP="00831263">
      <w:pPr>
        <w:pStyle w:val="Nadpis5"/>
        <w:ind w:right="-139" w:firstLine="300"/>
      </w:pPr>
      <w:bookmarkStart w:id="6" w:name="h.kfc8by61sa4y" w:colFirst="0" w:colLast="0"/>
      <w:bookmarkEnd w:id="6"/>
      <w:r>
        <w:t>Výpočet základní adresy sítě</w:t>
      </w:r>
    </w:p>
    <w:p w:rsidR="00C020D6" w:rsidRPr="00F23748" w:rsidRDefault="008335B7" w:rsidP="004A5EAB">
      <w:pPr>
        <w:ind w:left="708" w:firstLine="708"/>
        <w:rPr>
          <w:lang w:eastAsia="cs-CZ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cs-CZ"/>
            </w:rPr>
            <m:t>Network IP=Adress AND mask</m:t>
          </m:r>
        </m:oMath>
      </m:oMathPara>
    </w:p>
    <w:p w:rsidR="00831263" w:rsidRDefault="009D3899" w:rsidP="00831263">
      <w:r>
        <w:t>Vezme se</w:t>
      </w:r>
      <w:r w:rsidR="00831263">
        <w:t xml:space="preserve"> bi</w:t>
      </w:r>
      <w:r w:rsidR="00344CEA">
        <w:t>nární</w:t>
      </w:r>
      <w:r w:rsidR="00831263">
        <w:t xml:space="preserve"> adres</w:t>
      </w:r>
      <w:r w:rsidR="008A7647">
        <w:t>a</w:t>
      </w:r>
      <w:r w:rsidR="00CD18A2">
        <w:t xml:space="preserve"> hosta, </w:t>
      </w:r>
      <w:bookmarkStart w:id="7" w:name="_GoBack"/>
      <w:bookmarkEnd w:id="7"/>
      <w:r w:rsidR="00080DE6">
        <w:t>mask</w:t>
      </w:r>
      <w:r w:rsidR="00CD18A2">
        <w:t>a</w:t>
      </w:r>
      <w:r w:rsidR="00080DE6">
        <w:t xml:space="preserve"> sítě a provede se</w:t>
      </w:r>
      <w:r w:rsidR="00831263">
        <w:t xml:space="preserve"> bitový (logický) souč</w:t>
      </w:r>
      <w:r w:rsidR="00DD3B6D">
        <w:t>in (AND).</w:t>
      </w:r>
    </w:p>
    <w:p w:rsidR="002B364D" w:rsidRDefault="006A477D" w:rsidP="002B364D">
      <w:pPr>
        <w:pStyle w:val="Nadpis5"/>
      </w:pPr>
      <w:r>
        <w:t>Výpočet Wildcardu</w:t>
      </w:r>
      <w:bookmarkStart w:id="8" w:name="h.und33xh1j90d" w:colFirst="0" w:colLast="0"/>
      <w:bookmarkEnd w:id="8"/>
    </w:p>
    <w:p w:rsidR="006A477D" w:rsidRPr="002B364D" w:rsidRDefault="00742532" w:rsidP="005B5484">
      <w:pPr>
        <w:ind w:left="70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Wildcard</m:t>
          </m:r>
          <m:r>
            <m:rPr>
              <m:sty m:val="p"/>
            </m:rPr>
            <w:rPr>
              <w:rFonts w:ascii="Cambria Math" w:hAnsi="Cambria Math"/>
            </w:rPr>
            <m:t>=255-</m:t>
          </m:r>
          <m:r>
            <w:rPr>
              <w:rFonts w:ascii="Cambria Math" w:hAnsi="Cambria Math"/>
            </w:rPr>
            <m:t>mask</m:t>
          </m:r>
        </m:oMath>
      </m:oMathPara>
    </w:p>
    <w:p w:rsidR="00831263" w:rsidRDefault="00831263" w:rsidP="000D7B23">
      <w:pPr>
        <w:pStyle w:val="Nadpis5"/>
        <w:ind w:right="-139"/>
      </w:pPr>
      <w:r>
        <w:t xml:space="preserve">Výpočet broadcast adresy </w:t>
      </w:r>
      <w:r w:rsidR="003578EF">
        <w:t xml:space="preserve">subnetu </w:t>
      </w:r>
      <w:r w:rsidR="00490113">
        <w:t>(všesměrová</w:t>
      </w:r>
      <w:r>
        <w:t>)</w:t>
      </w:r>
    </w:p>
    <w:p w:rsidR="00CC28C1" w:rsidRDefault="00CC28C1" w:rsidP="00CC28C1">
      <w:pPr>
        <w:rPr>
          <w:lang w:eastAsia="cs-CZ"/>
        </w:rPr>
      </w:pPr>
      <w:r>
        <w:rPr>
          <w:lang w:eastAsia="cs-CZ"/>
        </w:rPr>
        <w:t>Poslední adresa sítě.</w:t>
      </w:r>
    </w:p>
    <w:p w:rsidR="006A477D" w:rsidRPr="00897368" w:rsidRDefault="00C06967" w:rsidP="00C06967">
      <w:pPr>
        <w:ind w:left="707"/>
        <w:rPr>
          <w:rFonts w:eastAsiaTheme="minorEastAsia"/>
          <w:lang w:eastAsia="cs-CZ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cs-CZ"/>
            </w:rPr>
            <m:t>BRD = adress OR Wildcard</m:t>
          </m:r>
        </m:oMath>
      </m:oMathPara>
    </w:p>
    <w:p w:rsidR="00897368" w:rsidRPr="007E2A7D" w:rsidRDefault="00897368" w:rsidP="00283839">
      <w:pPr>
        <w:ind w:left="707"/>
        <w:rPr>
          <w:rFonts w:eastAsiaTheme="minorEastAsia"/>
          <w:lang w:eastAsia="cs-CZ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cs-CZ"/>
            </w:rPr>
            <m:t>BRD=adress OR not(mask)</m:t>
          </m:r>
        </m:oMath>
      </m:oMathPara>
    </w:p>
    <w:p w:rsidR="00831263" w:rsidRDefault="00525AB9" w:rsidP="00831263">
      <w:r>
        <w:t xml:space="preserve">Vezme se </w:t>
      </w:r>
      <w:r w:rsidR="00831263">
        <w:t>IP adres</w:t>
      </w:r>
      <w:r>
        <w:t xml:space="preserve">a a provede se </w:t>
      </w:r>
      <w:r w:rsidR="00312454">
        <w:t>b</w:t>
      </w:r>
      <w:r w:rsidR="00831263">
        <w:t>itový</w:t>
      </w:r>
      <w:r w:rsidR="006D7BAB">
        <w:t xml:space="preserve"> </w:t>
      </w:r>
      <w:r w:rsidR="00831263">
        <w:t xml:space="preserve">(logický) součet (OR) s negovanou (NOT) maskou podsítě. </w:t>
      </w:r>
    </w:p>
    <w:p w:rsidR="00E02D26" w:rsidRPr="00E02D26" w:rsidRDefault="00831263" w:rsidP="000D7B23">
      <w:pPr>
        <w:pStyle w:val="Nadpis5"/>
      </w:pPr>
      <w:bookmarkStart w:id="9" w:name="h.vgf16woqnvzp" w:colFirst="0" w:colLast="0"/>
      <w:bookmarkEnd w:id="9"/>
      <w:r>
        <w:t>Výpočet velikosti sítě</w:t>
      </w:r>
    </w:p>
    <w:p w:rsidR="00831263" w:rsidRDefault="002975D5" w:rsidP="00831263">
      <w:r>
        <w:t>Zneguje se</w:t>
      </w:r>
      <w:r w:rsidR="00831263">
        <w:t xml:space="preserve"> mask</w:t>
      </w:r>
      <w:r w:rsidR="00165443">
        <w:t>a</w:t>
      </w:r>
      <w:r w:rsidR="00E02D26">
        <w:t xml:space="preserve">, použije se </w:t>
      </w:r>
      <w:r w:rsidR="00F07AC6">
        <w:t>jako celé číslo a přičte se</w:t>
      </w:r>
      <w:r w:rsidR="00831263">
        <w:t xml:space="preserve"> 1. </w:t>
      </w:r>
      <w:r w:rsidR="00817078">
        <w:t xml:space="preserve">Počítačům </w:t>
      </w:r>
      <w:r w:rsidR="00931D55">
        <w:t>lze</w:t>
      </w:r>
      <w:r w:rsidR="00817078">
        <w:t xml:space="preserve"> přidělit o  2 míň</w:t>
      </w:r>
      <w:r w:rsidR="00923CEE">
        <w:t xml:space="preserve"> </w:t>
      </w:r>
      <w:r w:rsidR="00931D55">
        <w:t xml:space="preserve">(jedna je </w:t>
      </w:r>
      <w:r w:rsidR="00702CE0">
        <w:t>broadcast a druhá adresa sítě</w:t>
      </w:r>
      <w:r w:rsidR="00831263">
        <w:t>)</w:t>
      </w:r>
      <w:r w:rsidR="001C4C2E">
        <w:t>.</w:t>
      </w:r>
    </w:p>
    <w:p w:rsidR="00F67E6E" w:rsidRDefault="00F67E6E" w:rsidP="00F67E6E">
      <w:pPr>
        <w:pStyle w:val="Nadpis3"/>
      </w:pPr>
      <w:r>
        <w:t>IPv6</w:t>
      </w:r>
    </w:p>
    <w:p w:rsidR="0082572D" w:rsidRDefault="0082572D" w:rsidP="0082572D">
      <w:r>
        <w:t>Trvalejším řešením problémů s nedostatkem adres by měla být n</w:t>
      </w:r>
      <w:r w:rsidR="00906EED">
        <w:t>ová verze protokolu, označovaná IPv6</w:t>
      </w:r>
      <w:r>
        <w:t>, která se ovšem zatím rozšiřuje jen velice pozvolna. V IPv6 adresa má délku 128 bitů, což znamená, že počet možných adre</w:t>
      </w:r>
      <w:r w:rsidR="002E0452">
        <w:t>s je 10</w:t>
      </w:r>
      <w:r w:rsidR="002E0452">
        <w:rPr>
          <w:vertAlign w:val="superscript"/>
        </w:rPr>
        <w:t>38</w:t>
      </w:r>
      <w:r>
        <w:t>. To je astronomic</w:t>
      </w:r>
      <w:r w:rsidR="00906D53">
        <w:t>ky velké číslo; T</w:t>
      </w:r>
      <w:r>
        <w:t xml:space="preserve">eoreticky se jedná o 6×1023 IP adres na 1 m² zemského povrchu. I pokud </w:t>
      </w:r>
      <w:r w:rsidR="006249F4">
        <w:t>se započítá</w:t>
      </w:r>
      <w:r>
        <w:t>, že i v IPv6 je potřeba velkou část adres rezervovat a adresní prostor opět nelze dokonale využít, je těchto adres dostatek na to, aby každé zařízení připojitelné do internetu dostalo svou vlastní jedinečnou adresu.</w:t>
      </w:r>
    </w:p>
    <w:p w:rsidR="005E472D" w:rsidRDefault="005E472D" w:rsidP="005E472D">
      <w:pPr>
        <w:pStyle w:val="Nadpis5"/>
      </w:pPr>
      <w:r>
        <w:t>Zápis</w:t>
      </w:r>
    </w:p>
    <w:p w:rsidR="00BC7F69" w:rsidRDefault="005E472D" w:rsidP="00BC7F69">
      <w:pPr>
        <w:pStyle w:val="Odstavecseseznamem"/>
        <w:numPr>
          <w:ilvl w:val="0"/>
          <w:numId w:val="6"/>
        </w:numPr>
        <w:rPr>
          <w:lang w:eastAsia="cs-CZ"/>
        </w:rPr>
      </w:pPr>
      <w:r>
        <w:t xml:space="preserve">8 skupin 4 hexadecimálních číslic </w:t>
      </w:r>
    </w:p>
    <w:p w:rsidR="00C62BD8" w:rsidRPr="00C62BD8" w:rsidRDefault="005E472D" w:rsidP="00C62BD8">
      <w:pPr>
        <w:pStyle w:val="Odstavecseseznamem"/>
        <w:numPr>
          <w:ilvl w:val="0"/>
          <w:numId w:val="6"/>
        </w:numPr>
        <w:rPr>
          <w:lang w:eastAsia="cs-CZ"/>
        </w:rPr>
      </w:pPr>
      <w:r w:rsidRPr="00BC7F69">
        <w:rPr>
          <w:rFonts w:ascii="Calibri" w:hAnsi="Calibri" w:cs="Calibri"/>
          <w:sz w:val="23"/>
          <w:szCs w:val="23"/>
        </w:rPr>
        <w:lastRenderedPageBreak/>
        <w:t xml:space="preserve">Pokud je jedna nebo více ze čtyřčlenných po sobě následujících skupin 0000, nuly mohou být vynechány a nahrazeny dvěma dvojtečkami (::) </w:t>
      </w:r>
    </w:p>
    <w:p w:rsidR="008042B9" w:rsidRPr="008042B9" w:rsidRDefault="005E472D" w:rsidP="00C62BD8">
      <w:pPr>
        <w:pStyle w:val="Odstavecseseznamem"/>
        <w:numPr>
          <w:ilvl w:val="0"/>
          <w:numId w:val="6"/>
        </w:numPr>
        <w:rPr>
          <w:lang w:eastAsia="cs-CZ"/>
        </w:rPr>
      </w:pPr>
      <w:r w:rsidRPr="00C62BD8">
        <w:rPr>
          <w:rFonts w:ascii="Calibri" w:hAnsi="Calibri" w:cs="Calibri"/>
          <w:sz w:val="23"/>
          <w:szCs w:val="23"/>
        </w:rPr>
        <w:t>Libovolný počet po sobě následujících skupin 0000 může být nahrazen dvěma dvojtečkami, pokud se v adrese toto nahrazení vyskytuje pouze jednou. Předcházející nuly v</w:t>
      </w:r>
      <w:r w:rsidR="008042B9">
        <w:rPr>
          <w:rFonts w:ascii="Calibri" w:hAnsi="Calibri" w:cs="Calibri"/>
          <w:sz w:val="23"/>
          <w:szCs w:val="23"/>
        </w:rPr>
        <w:t>e skupině mohou být vynechány</w:t>
      </w:r>
    </w:p>
    <w:p w:rsidR="008042B9" w:rsidRPr="008042B9" w:rsidRDefault="005E472D" w:rsidP="008042B9">
      <w:pPr>
        <w:pStyle w:val="Odstavecseseznamem"/>
        <w:numPr>
          <w:ilvl w:val="1"/>
          <w:numId w:val="6"/>
        </w:numPr>
        <w:rPr>
          <w:lang w:eastAsia="cs-CZ"/>
        </w:rPr>
      </w:pPr>
      <w:r w:rsidRPr="00C62BD8">
        <w:rPr>
          <w:rFonts w:ascii="Calibri" w:hAnsi="Calibri" w:cs="Calibri"/>
          <w:sz w:val="23"/>
          <w:szCs w:val="23"/>
        </w:rPr>
        <w:t xml:space="preserve">2001:0db8:0000:0000:0000:0000:1428:57ab </w:t>
      </w:r>
    </w:p>
    <w:p w:rsidR="008042B9" w:rsidRPr="008042B9" w:rsidRDefault="005E472D" w:rsidP="008042B9">
      <w:pPr>
        <w:pStyle w:val="Odstavecseseznamem"/>
        <w:numPr>
          <w:ilvl w:val="1"/>
          <w:numId w:val="6"/>
        </w:numPr>
        <w:rPr>
          <w:lang w:eastAsia="cs-CZ"/>
        </w:rPr>
      </w:pPr>
      <w:r w:rsidRPr="008042B9">
        <w:rPr>
          <w:rFonts w:ascii="Calibri" w:hAnsi="Calibri" w:cs="Calibri"/>
          <w:sz w:val="23"/>
          <w:szCs w:val="23"/>
        </w:rPr>
        <w:t xml:space="preserve">2001:0db8:0000:0000:0000::1428:57ab </w:t>
      </w:r>
    </w:p>
    <w:p w:rsidR="008042B9" w:rsidRPr="008042B9" w:rsidRDefault="005E472D" w:rsidP="008042B9">
      <w:pPr>
        <w:pStyle w:val="Odstavecseseznamem"/>
        <w:numPr>
          <w:ilvl w:val="1"/>
          <w:numId w:val="6"/>
        </w:numPr>
        <w:rPr>
          <w:lang w:eastAsia="cs-CZ"/>
        </w:rPr>
      </w:pPr>
      <w:r w:rsidRPr="008042B9">
        <w:rPr>
          <w:rFonts w:ascii="Calibri" w:hAnsi="Calibri" w:cs="Calibri"/>
          <w:sz w:val="23"/>
          <w:szCs w:val="23"/>
        </w:rPr>
        <w:t xml:space="preserve">2001:0db8:0:0:0:0:1428:57ab </w:t>
      </w:r>
    </w:p>
    <w:p w:rsidR="008042B9" w:rsidRPr="008042B9" w:rsidRDefault="005E472D" w:rsidP="008042B9">
      <w:pPr>
        <w:pStyle w:val="Odstavecseseznamem"/>
        <w:numPr>
          <w:ilvl w:val="1"/>
          <w:numId w:val="6"/>
        </w:numPr>
        <w:rPr>
          <w:lang w:eastAsia="cs-CZ"/>
        </w:rPr>
      </w:pPr>
      <w:r w:rsidRPr="008042B9">
        <w:rPr>
          <w:rFonts w:ascii="Calibri" w:hAnsi="Calibri" w:cs="Calibri"/>
          <w:sz w:val="23"/>
          <w:szCs w:val="23"/>
        </w:rPr>
        <w:t xml:space="preserve">2001:0db8:0:0::1428:57ab </w:t>
      </w:r>
    </w:p>
    <w:p w:rsidR="008042B9" w:rsidRPr="008042B9" w:rsidRDefault="005E472D" w:rsidP="008042B9">
      <w:pPr>
        <w:pStyle w:val="Odstavecseseznamem"/>
        <w:numPr>
          <w:ilvl w:val="1"/>
          <w:numId w:val="6"/>
        </w:numPr>
        <w:rPr>
          <w:lang w:eastAsia="cs-CZ"/>
        </w:rPr>
      </w:pPr>
      <w:r w:rsidRPr="008042B9">
        <w:rPr>
          <w:rFonts w:ascii="Calibri" w:hAnsi="Calibri" w:cs="Calibri"/>
          <w:sz w:val="23"/>
          <w:szCs w:val="23"/>
        </w:rPr>
        <w:t xml:space="preserve">2001:0db8::1428:57ab </w:t>
      </w:r>
    </w:p>
    <w:p w:rsidR="005E472D" w:rsidRPr="005E472D" w:rsidRDefault="005E472D" w:rsidP="00703139">
      <w:pPr>
        <w:pStyle w:val="Odstavecseseznamem"/>
        <w:numPr>
          <w:ilvl w:val="1"/>
          <w:numId w:val="6"/>
        </w:numPr>
        <w:rPr>
          <w:lang w:eastAsia="cs-CZ"/>
        </w:rPr>
      </w:pPr>
      <w:r w:rsidRPr="008042B9">
        <w:rPr>
          <w:rFonts w:ascii="Calibri" w:hAnsi="Calibri" w:cs="Calibri"/>
          <w:sz w:val="23"/>
          <w:szCs w:val="23"/>
        </w:rPr>
        <w:t xml:space="preserve">2001:db8::1428:57ab </w:t>
      </w:r>
    </w:p>
    <w:p w:rsidR="0082572D" w:rsidRDefault="00FC29DD" w:rsidP="00703139">
      <w:r>
        <w:rPr>
          <w:highlight w:val="white"/>
        </w:rPr>
        <w:t>Zkracování</w:t>
      </w:r>
      <w:r w:rsidR="0082572D">
        <w:rPr>
          <w:highlight w:val="white"/>
        </w:rPr>
        <w:t xml:space="preserve"> se často </w:t>
      </w:r>
      <w:r w:rsidR="002770DF">
        <w:rPr>
          <w:highlight w:val="white"/>
        </w:rPr>
        <w:t xml:space="preserve">používá </w:t>
      </w:r>
      <w:r w:rsidR="0082572D">
        <w:rPr>
          <w:highlight w:val="white"/>
        </w:rPr>
        <w:t>u prefixů pro nulový konec adresy či u speciálních adres, jako je loopback (smyčka), jejíž tvar ::1 je podstatně příjemnější, než 0000:0000:0000:0000:0000:0000:0000:0001.</w:t>
      </w:r>
    </w:p>
    <w:p w:rsidR="0082572D" w:rsidRDefault="0082572D" w:rsidP="0082572D">
      <w:r>
        <w:t>::1 je u IPV6 localhost</w:t>
      </w:r>
    </w:p>
    <w:p w:rsidR="00232969" w:rsidRDefault="0082572D" w:rsidP="00232969">
      <w:r>
        <w:t>U IPV6 je jen multicast</w:t>
      </w:r>
    </w:p>
    <w:p w:rsidR="00232969" w:rsidRDefault="00232969" w:rsidP="00232969">
      <w:r>
        <w:br w:type="page"/>
      </w:r>
    </w:p>
    <w:p w:rsidR="009F3459" w:rsidRDefault="009F3459" w:rsidP="00232969">
      <w:pPr>
        <w:pStyle w:val="Nadpis2"/>
      </w:pPr>
      <w:r>
        <w:lastRenderedPageBreak/>
        <w:t>Porty</w:t>
      </w:r>
    </w:p>
    <w:p w:rsidR="0083458F" w:rsidRDefault="009B7F4F" w:rsidP="00C229F4">
      <w:bookmarkStart w:id="10" w:name="h.vz3w8fawhfhw" w:colFirst="0" w:colLast="0"/>
      <w:bookmarkStart w:id="11" w:name="h.cqfkq2cqbhbe" w:colFirst="0" w:colLast="0"/>
      <w:bookmarkStart w:id="12" w:name="h.1ypm36z6doty" w:colFirst="0" w:colLast="0"/>
      <w:bookmarkEnd w:id="10"/>
      <w:bookmarkEnd w:id="11"/>
      <w:bookmarkEnd w:id="12"/>
      <w:r>
        <w:rPr>
          <w:highlight w:val="white"/>
        </w:rPr>
        <w:t>Sp</w:t>
      </w:r>
      <w:r w:rsidR="0083458F">
        <w:rPr>
          <w:highlight w:val="white"/>
        </w:rPr>
        <w:t>eciální číslo (1 až 65535), které slouží v počítačových sítích při komunikaci pomocí protokolů TCP a UDP k rozlišení aplikace v rámci počítače.</w:t>
      </w:r>
    </w:p>
    <w:p w:rsidR="0083458F" w:rsidRDefault="0083458F" w:rsidP="004952B5">
      <w:r>
        <w:rPr>
          <w:highlight w:val="white"/>
        </w:rPr>
        <w:t>Příklad: Server, který je používán k odesílání a přijímání elektronické pošty bude pravděpodobně poskytovat služby SMTP a POP3. Ty jsou na serveru obsluhovány rozdílným</w:t>
      </w:r>
      <w:r w:rsidR="00AB3674">
        <w:rPr>
          <w:highlight w:val="white"/>
        </w:rPr>
        <w:t>i procesy a čísla portů se použi</w:t>
      </w:r>
      <w:r>
        <w:rPr>
          <w:highlight w:val="white"/>
        </w:rPr>
        <w:t>jí k rozlišení, která data patří jakému procesu. Obvykle je tomu tak, že SMTP server naslouchá na portu 25 zatímco POP3 na portu 110, avšak je možné nastavit úplně jiná čísla portů.</w:t>
      </w:r>
    </w:p>
    <w:p w:rsidR="0083458F" w:rsidRDefault="0083458F" w:rsidP="004952B5">
      <w:r>
        <w:rPr>
          <w:b/>
          <w:highlight w:val="white"/>
        </w:rPr>
        <w:t>Port address translation (PAT)</w:t>
      </w:r>
      <w:r>
        <w:rPr>
          <w:highlight w:val="white"/>
        </w:rPr>
        <w:t xml:space="preserve"> je </w:t>
      </w:r>
      <w:r w:rsidR="004952B5">
        <w:rPr>
          <w:highlight w:val="white"/>
        </w:rPr>
        <w:t>vlastnost</w:t>
      </w:r>
      <w:r>
        <w:rPr>
          <w:highlight w:val="white"/>
        </w:rPr>
        <w:t xml:space="preserve"> síťového zařízení, které překládá TCP, nebo UDP komunikace probíhající mezi místními počítači používající privátní sítě a vzdálenými počítači používající sítě veřejné. Umožňuje to lidem používat jednu </w:t>
      </w:r>
      <w:r w:rsidR="00562B2E">
        <w:rPr>
          <w:highlight w:val="white"/>
        </w:rPr>
        <w:t>veřejn</w:t>
      </w:r>
      <w:r w:rsidR="004F026F">
        <w:rPr>
          <w:highlight w:val="white"/>
        </w:rPr>
        <w:t>ou IP a</w:t>
      </w:r>
      <w:r>
        <w:rPr>
          <w:highlight w:val="white"/>
        </w:rPr>
        <w:t>dresu pro mnoho místních počítačů v rámci soukromé sítě, kterou</w:t>
      </w:r>
      <w:r w:rsidR="00BB70B6">
        <w:rPr>
          <w:highlight w:val="white"/>
        </w:rPr>
        <w:t xml:space="preserve"> obvykle je LAN</w:t>
      </w:r>
      <w:r>
        <w:rPr>
          <w:highlight w:val="white"/>
        </w:rPr>
        <w:t>.</w:t>
      </w:r>
    </w:p>
    <w:p w:rsidR="0083458F" w:rsidRDefault="0083458F" w:rsidP="00A32A4D">
      <w:r>
        <w:rPr>
          <w:b/>
          <w:highlight w:val="white"/>
        </w:rPr>
        <w:t>Network Address Translation</w:t>
      </w:r>
      <w:r>
        <w:rPr>
          <w:highlight w:val="white"/>
        </w:rPr>
        <w:t xml:space="preserve"> (</w:t>
      </w:r>
      <w:r>
        <w:rPr>
          <w:b/>
          <w:highlight w:val="white"/>
        </w:rPr>
        <w:t>NAT</w:t>
      </w:r>
      <w:r>
        <w:rPr>
          <w:highlight w:val="white"/>
        </w:rPr>
        <w:t xml:space="preserve">, </w:t>
      </w:r>
      <w:r>
        <w:rPr>
          <w:i/>
          <w:highlight w:val="white"/>
        </w:rPr>
        <w:t>překlad síťových adres</w:t>
      </w:r>
      <w:r>
        <w:rPr>
          <w:highlight w:val="white"/>
        </w:rPr>
        <w:t>,) je způsob úpravy síťového provozu přes router přepisem výchozí a/nebo cílové IP adresy, často i změnu č</w:t>
      </w:r>
      <w:r w:rsidR="00A32A4D">
        <w:rPr>
          <w:highlight w:val="white"/>
        </w:rPr>
        <w:t>ísla TCP/UDP portu u průchozích IP pa</w:t>
      </w:r>
      <w:r>
        <w:t>ketů</w:t>
      </w:r>
      <w:r>
        <w:rPr>
          <w:highlight w:val="white"/>
        </w:rPr>
        <w:t>. K tomu patří i změna kontrolního součtu (u IP i TCP/UDP), aby změny byly brány v úvahu. NAT se většinou používá pro přístup více počítačů z lokální sítě na Internet pod jedino</w:t>
      </w:r>
      <w:r w:rsidR="009937CA">
        <w:rPr>
          <w:highlight w:val="white"/>
        </w:rPr>
        <w:t>u veřejnou adresou</w:t>
      </w:r>
      <w:r>
        <w:rPr>
          <w:highlight w:val="white"/>
        </w:rPr>
        <w:t>.</w:t>
      </w:r>
    </w:p>
    <w:p w:rsidR="005A20F7" w:rsidRDefault="005A20F7" w:rsidP="005A20F7">
      <w:pPr>
        <w:pStyle w:val="Nadpis2"/>
      </w:pPr>
      <w:r>
        <w:t>Adresace v sítích IPX/SPX</w:t>
      </w:r>
    </w:p>
    <w:p w:rsidR="005A20F7" w:rsidRDefault="005A20F7" w:rsidP="005A20F7">
      <w:r>
        <w:t>IPX/SPX je zkratka od Internetwork Packet Exchange/Sequenced Packet Exchange. Je to síťový protokol, který se používá v operačním systému Novell NetWare.</w:t>
      </w:r>
    </w:p>
    <w:p w:rsidR="005A20F7" w:rsidRDefault="005A20F7" w:rsidP="005A20F7">
      <w:r>
        <w:t>SPX je protokol transportní vrstvy užívaný v sítích Novell NetWare. Vrstva SPX poskytuje služby pro spojení dvou uzlů. SPX se zejména používá aplikacemi klient-server.</w:t>
      </w:r>
    </w:p>
    <w:p w:rsidR="005A20F7" w:rsidRDefault="005A20F7" w:rsidP="005A20F7">
      <w:r>
        <w:lastRenderedPageBreak/>
        <w:t>Zatímco IPX protokol je podobný IP, SPX připomíná TCP. Tudíž IPX/SPX lze přirovnat k TCP/IP.</w:t>
      </w:r>
    </w:p>
    <w:p w:rsidR="00B108F3" w:rsidRDefault="00B108F3" w:rsidP="005A20F7"/>
    <w:p w:rsidR="00C53F8C" w:rsidRDefault="005A20F7" w:rsidP="005A20F7">
      <w:r>
        <w:t>Jednotlivé protokoly se s tí</w:t>
      </w:r>
      <w:r w:rsidR="00C53F8C">
        <w:t>m vyrovnávají odlišně.</w:t>
      </w:r>
    </w:p>
    <w:p w:rsidR="005A20F7" w:rsidRDefault="005A20F7" w:rsidP="005A20F7">
      <w:r>
        <w:t>U sítí IPX/SPX se adresování řídí následujícími pravidly:</w:t>
      </w:r>
    </w:p>
    <w:p w:rsidR="00170E9A" w:rsidRDefault="005A20F7" w:rsidP="00DC4564">
      <w:pPr>
        <w:pStyle w:val="Odstavecseseznamem"/>
        <w:numPr>
          <w:ilvl w:val="0"/>
          <w:numId w:val="7"/>
        </w:numPr>
      </w:pPr>
      <w:r>
        <w:t>Každý kabelový segment sítě má své vlastní číslo externí sítě</w:t>
      </w:r>
      <w:r w:rsidR="00170E9A">
        <w:t xml:space="preserve"> IPX (external network number)</w:t>
      </w:r>
    </w:p>
    <w:p w:rsidR="006A726A" w:rsidRDefault="005A20F7" w:rsidP="00170E9A">
      <w:pPr>
        <w:pStyle w:val="Odstavecseseznamem"/>
        <w:numPr>
          <w:ilvl w:val="1"/>
          <w:numId w:val="7"/>
        </w:numPr>
      </w:pPr>
      <w:r>
        <w:t>Vy</w:t>
      </w:r>
      <w:r w:rsidR="006A726A">
        <w:t>užívají je především směrovače</w:t>
      </w:r>
    </w:p>
    <w:p w:rsidR="00AD6427" w:rsidRDefault="005A20F7" w:rsidP="00AD6427">
      <w:pPr>
        <w:pStyle w:val="Odstavecseseznamem"/>
        <w:numPr>
          <w:ilvl w:val="1"/>
          <w:numId w:val="7"/>
        </w:numPr>
      </w:pPr>
      <w:r>
        <w:t>Číslo je osmimístné, vyjádřené hexadecimálně (</w:t>
      </w:r>
      <w:r w:rsidR="006A726A">
        <w:t>šestnáctkově)</w:t>
      </w:r>
    </w:p>
    <w:p w:rsidR="00B34540" w:rsidRDefault="005A20F7" w:rsidP="00B34540">
      <w:pPr>
        <w:pStyle w:val="Odstavecseseznamem"/>
        <w:numPr>
          <w:ilvl w:val="0"/>
          <w:numId w:val="7"/>
        </w:numPr>
      </w:pPr>
      <w:r>
        <w:t>Pak následuje číslo uzlu (node number), též udávané jako MAC adresa</w:t>
      </w:r>
    </w:p>
    <w:p w:rsidR="0036547B" w:rsidRDefault="005A20F7" w:rsidP="00B34540">
      <w:pPr>
        <w:pStyle w:val="Odstavecseseznamem"/>
        <w:numPr>
          <w:ilvl w:val="0"/>
          <w:numId w:val="7"/>
        </w:numPr>
      </w:pPr>
      <w:r>
        <w:t>Posledním je číslo interní sítě (IPX internal network number</w:t>
      </w:r>
      <w:r w:rsidR="0036547B">
        <w:t>), tím je identifikován server</w:t>
      </w:r>
    </w:p>
    <w:p w:rsidR="0022489A" w:rsidRDefault="005A20F7" w:rsidP="00364E32">
      <w:pPr>
        <w:pStyle w:val="Odstavecseseznamem"/>
        <w:numPr>
          <w:ilvl w:val="1"/>
          <w:numId w:val="7"/>
        </w:numPr>
      </w:pPr>
      <w:r>
        <w:t>Číslo</w:t>
      </w:r>
      <w:r w:rsidR="0022489A">
        <w:t xml:space="preserve"> je hexadecimální a čtyřmístné</w:t>
      </w:r>
    </w:p>
    <w:p w:rsidR="005A20F7" w:rsidRDefault="005A20F7" w:rsidP="00364E32">
      <w:pPr>
        <w:pStyle w:val="Nadpis3"/>
      </w:pPr>
      <w:r>
        <w:t>Pro adresaci v síti pak platí tyto zásady:</w:t>
      </w:r>
    </w:p>
    <w:p w:rsidR="00E425BD" w:rsidRDefault="00EB3EEE" w:rsidP="00E425BD">
      <w:pPr>
        <w:pStyle w:val="Odstavecseseznamem"/>
        <w:numPr>
          <w:ilvl w:val="0"/>
          <w:numId w:val="8"/>
        </w:numPr>
      </w:pPr>
      <w:r>
        <w:t xml:space="preserve">Každý </w:t>
      </w:r>
      <w:r w:rsidR="005A20F7">
        <w:t>server musí být unikátní, má tedy jedinečnou adresu definovanou interním číslem sítě</w:t>
      </w:r>
    </w:p>
    <w:p w:rsidR="00C6257E" w:rsidRDefault="00EB3EEE" w:rsidP="00C6257E">
      <w:pPr>
        <w:pStyle w:val="Odstavecseseznamem"/>
        <w:numPr>
          <w:ilvl w:val="0"/>
          <w:numId w:val="8"/>
        </w:numPr>
      </w:pPr>
      <w:r>
        <w:t xml:space="preserve">Unikátní </w:t>
      </w:r>
      <w:r w:rsidR="005A20F7">
        <w:t>jsou i čísla kabelových segmentů (externí čísla sítě), ale v rámci jednoho segmentu je externí číslo sítě stejné</w:t>
      </w:r>
    </w:p>
    <w:p w:rsidR="005A20F7" w:rsidRDefault="00C6257E" w:rsidP="00C6257E">
      <w:pPr>
        <w:pStyle w:val="Odstavecseseznamem"/>
        <w:numPr>
          <w:ilvl w:val="0"/>
          <w:numId w:val="8"/>
        </w:numPr>
      </w:pPr>
      <w:r>
        <w:t>K</w:t>
      </w:r>
      <w:r w:rsidR="00B036E4">
        <w:t>aždá síťová karta (</w:t>
      </w:r>
      <w:r w:rsidR="005A20F7">
        <w:t>počítač) má originální číslo uzlu</w:t>
      </w:r>
    </w:p>
    <w:p w:rsidR="005A20F7" w:rsidRDefault="005A20F7" w:rsidP="005A20F7">
      <w:r>
        <w:t xml:space="preserve">Výhodou tohoto uspořádání je to, že číslo interní i externí sítě se generuje automaticky (i když ho lze upravit) a rovněž číslo uzlu je generováno při výrobě. Uživatel tedy do adresování nemusí (ale může) zasahovat. </w:t>
      </w:r>
    </w:p>
    <w:p w:rsidR="0083458F" w:rsidRDefault="005A20F7" w:rsidP="001D0E4B">
      <w:pPr>
        <w:pStyle w:val="Nadpis2"/>
      </w:pPr>
      <w:bookmarkStart w:id="13" w:name="h.u93rm127balj" w:colFirst="0" w:colLast="0"/>
      <w:bookmarkEnd w:id="13"/>
      <w:r>
        <w:t>U</w:t>
      </w:r>
      <w:r w:rsidR="0083458F">
        <w:t>RI</w:t>
      </w:r>
    </w:p>
    <w:p w:rsidR="0083458F" w:rsidRDefault="00B04F8E" w:rsidP="001D0E4B">
      <w:r>
        <w:rPr>
          <w:noProof/>
          <w:lang w:eastAsia="cs-CZ"/>
        </w:rPr>
        <w:drawing>
          <wp:anchor distT="0" distB="0" distL="0" distR="0" simplePos="0" relativeHeight="251657216" behindDoc="0" locked="0" layoutInCell="0" hidden="0" allowOverlap="0" wp14:anchorId="3B8FE2C9" wp14:editId="19FC1C3A">
            <wp:simplePos x="0" y="0"/>
            <wp:positionH relativeFrom="margin">
              <wp:posOffset>5326629</wp:posOffset>
            </wp:positionH>
            <wp:positionV relativeFrom="paragraph">
              <wp:posOffset>433512</wp:posOffset>
            </wp:positionV>
            <wp:extent cx="1647825" cy="990600"/>
            <wp:effectExtent l="0" t="0" r="0" b="0"/>
            <wp:wrapSquare wrapText="bothSides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58F">
        <w:rPr>
          <w:b/>
        </w:rPr>
        <w:t>URI (Uniform Resource Identifier – „jednotný identifikátor zdroje“)</w:t>
      </w:r>
      <w:r w:rsidR="0083458F">
        <w:t xml:space="preserve"> je textový řetězec s definovanou strukturou, který slouží k přesné specifikaci zdroje informací (ve smyslu dokument nebo </w:t>
      </w:r>
      <w:r w:rsidR="0083458F">
        <w:lastRenderedPageBreak/>
        <w:t>služba), hlavně za účelem jejich použití pomocí počítačové sítě, zejména Internetu.</w:t>
      </w:r>
    </w:p>
    <w:p w:rsidR="0083458F" w:rsidRDefault="0083458F" w:rsidP="0083458F">
      <w:r>
        <w:t>URI je nejobecnější z několika příbuzných typů identifikátorů. URI může popisovat zdroj jak čistě z hlediska jeho identity (a neurčovat, kde je možno zdroj získat), tak čistě z hlediska toho, jak je možno zdroj nalézt (a nepopisovat jeho identitu), tak i obojí současně – přesnou identitu zdroje i jak je možno ho dosáhnout.</w:t>
      </w:r>
    </w:p>
    <w:p w:rsidR="0083458F" w:rsidRDefault="0083458F" w:rsidP="0083458F">
      <w:r>
        <w:t>Je to obecně použitelná množina na všechny druhy adres. Jelikož je URI velmi obecný koncept, jeho základní formát je velmi volný.</w:t>
      </w:r>
    </w:p>
    <w:p w:rsidR="0083458F" w:rsidRDefault="0083458F" w:rsidP="0083458F">
      <w:r>
        <w:t>Skládá se z adresy objektu a schéma. Těchto schémat je opravdu hodně. Mezi nejznámější patří například http, ftp, nebo file. Za každým schématem se pak píše dvojtečka. Po schématu následuje adresa objektu</w:t>
      </w:r>
      <w:r w:rsidR="00BE0303">
        <w:t xml:space="preserve"> </w:t>
      </w:r>
      <w:r>
        <w:t>(nějaký řetězec). Její forma závisí na dr</w:t>
      </w:r>
      <w:r w:rsidR="00A9168D">
        <w:t>uh</w:t>
      </w:r>
      <w:r w:rsidR="004C66D6">
        <w:t>u schématu. Pro http se použijí</w:t>
      </w:r>
      <w:r>
        <w:t xml:space="preserve"> dvě lomítka a adres</w:t>
      </w:r>
      <w:r w:rsidR="00F64BE4">
        <w:t>a</w:t>
      </w:r>
      <w:r>
        <w:t xml:space="preserve"> zdroje. Ve výsledku vypadá URI takto: http://adresa­_zdroje. </w:t>
      </w:r>
    </w:p>
    <w:p w:rsidR="0083458F" w:rsidRDefault="0083458F" w:rsidP="00515D68">
      <w:r>
        <w:t xml:space="preserve">Standard URI specifikuje pouze základní syntax, která popisuje, které znaky je dovoleno v URI použít apod. </w:t>
      </w:r>
    </w:p>
    <w:p w:rsidR="001427B3" w:rsidRDefault="001427B3" w:rsidP="0083458F">
      <w:pPr>
        <w:rPr>
          <w:shd w:val="clear" w:color="auto" w:fill="F3F3F3"/>
        </w:rPr>
      </w:pPr>
      <w:r>
        <w:t xml:space="preserve">URI </w:t>
      </w:r>
      <w:r w:rsidR="0083458F">
        <w:t xml:space="preserve">má následující tvar: </w:t>
      </w:r>
      <w:r w:rsidR="0083458F">
        <w:rPr>
          <w:shd w:val="clear" w:color="auto" w:fill="F3F3F3"/>
        </w:rPr>
        <w:t>schéma:hierarchická část?dotaz#fragment</w:t>
      </w:r>
    </w:p>
    <w:p w:rsidR="0083458F" w:rsidRDefault="0083458F" w:rsidP="0083458F">
      <w:r>
        <w:t>přičemž části ?dotaz a #fragment jsou nepovinné.</w:t>
      </w:r>
    </w:p>
    <w:p w:rsidR="0083458F" w:rsidRDefault="001427B3" w:rsidP="001427B3">
      <w:pPr>
        <w:pStyle w:val="Nadpis3"/>
      </w:pPr>
      <w:r>
        <w:rPr>
          <w:highlight w:val="white"/>
        </w:rPr>
        <w:t>S</w:t>
      </w:r>
      <w:r w:rsidR="0083458F">
        <w:rPr>
          <w:highlight w:val="white"/>
        </w:rPr>
        <w:t>chéma</w:t>
      </w:r>
    </w:p>
    <w:p w:rsidR="0083458F" w:rsidRDefault="0083458F" w:rsidP="00F23CE2">
      <w:r>
        <w:rPr>
          <w:highlight w:val="white"/>
        </w:rPr>
        <w:t>Musí začínat písmenem a obsahovat jen písmena, číslice a znaky (</w:t>
      </w:r>
      <w:r>
        <w:rPr>
          <w:rFonts w:ascii="Verdana" w:eastAsia="Verdana" w:hAnsi="Verdana" w:cs="Verdana"/>
          <w:shd w:val="clear" w:color="auto" w:fill="F9F9F9"/>
        </w:rPr>
        <w:t>+</w:t>
      </w:r>
      <w:r>
        <w:rPr>
          <w:highlight w:val="white"/>
        </w:rPr>
        <w:t>), (</w:t>
      </w:r>
      <w:r>
        <w:rPr>
          <w:rFonts w:ascii="Verdana" w:eastAsia="Verdana" w:hAnsi="Verdana" w:cs="Verdana"/>
          <w:shd w:val="clear" w:color="auto" w:fill="F9F9F9"/>
        </w:rPr>
        <w:t>-</w:t>
      </w:r>
      <w:r>
        <w:rPr>
          <w:highlight w:val="white"/>
        </w:rPr>
        <w:t>) a (</w:t>
      </w:r>
      <w:r>
        <w:rPr>
          <w:rFonts w:ascii="Verdana" w:eastAsia="Verdana" w:hAnsi="Verdana" w:cs="Verdana"/>
          <w:shd w:val="clear" w:color="auto" w:fill="F9F9F9"/>
        </w:rPr>
        <w:t>.</w:t>
      </w:r>
      <w:r>
        <w:rPr>
          <w:highlight w:val="white"/>
        </w:rPr>
        <w:t xml:space="preserve">). Určuje, o jaký druh URI se jedná a jaký význam a syntaxe platí pro zbytek URI. </w:t>
      </w:r>
    </w:p>
    <w:p w:rsidR="0083458F" w:rsidRDefault="00BB416B" w:rsidP="00BB416B">
      <w:pPr>
        <w:pStyle w:val="Nadpis3"/>
      </w:pPr>
      <w:r>
        <w:rPr>
          <w:highlight w:val="white"/>
        </w:rPr>
        <w:t>H</w:t>
      </w:r>
      <w:r w:rsidR="0083458F">
        <w:rPr>
          <w:highlight w:val="white"/>
        </w:rPr>
        <w:t>ierarchická část</w:t>
      </w:r>
    </w:p>
    <w:p w:rsidR="0083458F" w:rsidRDefault="0083458F" w:rsidP="00FE421F">
      <w:r>
        <w:rPr>
          <w:highlight w:val="white"/>
        </w:rPr>
        <w:t xml:space="preserve">Obsahuje identifikátor zdroje v rámci nějaké hierarchické struktury. Standard URI dovoluje, aby tato část byla formátována prakticky libovolně, ale předepisuje také několik předdefinovaných syntaxí užitečných pro obvyklé situace. </w:t>
      </w:r>
      <w:r>
        <w:rPr>
          <w:highlight w:val="white"/>
        </w:rPr>
        <w:lastRenderedPageBreak/>
        <w:t>Jednou z nich je formát, kde po dvojtečce oddělující název schématu následují dvě lomítka (</w:t>
      </w:r>
      <w:r>
        <w:rPr>
          <w:rFonts w:ascii="Verdana" w:eastAsia="Verdana" w:hAnsi="Verdana" w:cs="Verdana"/>
          <w:shd w:val="clear" w:color="auto" w:fill="F9F9F9"/>
        </w:rPr>
        <w:t>//</w:t>
      </w:r>
      <w:r>
        <w:rPr>
          <w:highlight w:val="white"/>
        </w:rPr>
        <w:t xml:space="preserve">), po kterých následuje označení tzv. </w:t>
      </w:r>
      <w:r>
        <w:rPr>
          <w:i/>
          <w:highlight w:val="white"/>
        </w:rPr>
        <w:t>autority</w:t>
      </w:r>
      <w:r>
        <w:rPr>
          <w:highlight w:val="white"/>
        </w:rPr>
        <w:t>, které je tvořeno jménem či IP adresou počítače, před kterým smí být informace o uživateli oddělená zavináčem (</w:t>
      </w:r>
      <w:r>
        <w:rPr>
          <w:rFonts w:ascii="Verdana" w:eastAsia="Verdana" w:hAnsi="Verdana" w:cs="Verdana"/>
          <w:shd w:val="clear" w:color="auto" w:fill="F9F9F9"/>
        </w:rPr>
        <w:t>@</w:t>
      </w:r>
      <w:r>
        <w:rPr>
          <w:highlight w:val="white"/>
        </w:rPr>
        <w:t xml:space="preserve">), za ním smí být číslo portu oddělené dvojtečkou. Za označením autority následuje </w:t>
      </w:r>
      <w:r>
        <w:rPr>
          <w:i/>
          <w:highlight w:val="white"/>
        </w:rPr>
        <w:t>cesta</w:t>
      </w:r>
      <w:r>
        <w:rPr>
          <w:highlight w:val="white"/>
        </w:rPr>
        <w:t>: posloupnost segmentů oddělených lomítky (</w:t>
      </w:r>
      <w:r>
        <w:rPr>
          <w:rFonts w:ascii="Verdana" w:eastAsia="Verdana" w:hAnsi="Verdana" w:cs="Verdana"/>
          <w:shd w:val="clear" w:color="auto" w:fill="F9F9F9"/>
        </w:rPr>
        <w:t>/</w:t>
      </w:r>
      <w:r>
        <w:rPr>
          <w:highlight w:val="white"/>
        </w:rPr>
        <w:t>) – značení obdobné adresářům, ale nemusí se jednat přímo o ně, ale obecně o jakýkoli hierarchický systém.</w:t>
      </w:r>
    </w:p>
    <w:p w:rsidR="0083458F" w:rsidRDefault="00FE421F" w:rsidP="00FE421F">
      <w:pPr>
        <w:pStyle w:val="Nadpis3"/>
      </w:pPr>
      <w:r>
        <w:rPr>
          <w:highlight w:val="white"/>
        </w:rPr>
        <w:t>Dotaz</w:t>
      </w:r>
    </w:p>
    <w:p w:rsidR="0083458F" w:rsidRDefault="0083458F" w:rsidP="00A42500">
      <w:r>
        <w:rPr>
          <w:highlight w:val="white"/>
        </w:rPr>
        <w:t xml:space="preserve">Popisuje nehierarchickou část identifikátoru, která slouží k bližšímu určení požadovaného zdroje. Tato část nemá žádnou standardizovanou syntaxi, ovšem v praxi se velmi často používá posloupnost dvojic </w:t>
      </w:r>
      <w:r w:rsidRPr="00515D68">
        <w:rPr>
          <w:rStyle w:val="Nadpis4Char"/>
        </w:rPr>
        <w:t>klíč=hodnota</w:t>
      </w:r>
      <w:r>
        <w:rPr>
          <w:highlight w:val="white"/>
        </w:rPr>
        <w:t xml:space="preserve"> oddělená ampersandy (např. </w:t>
      </w:r>
      <w:r w:rsidRPr="00515D68">
        <w:rPr>
          <w:rStyle w:val="Nadpis4Char"/>
        </w:rPr>
        <w:t>kdo=Josef&amp;okres=Brno</w:t>
      </w:r>
      <w:r>
        <w:rPr>
          <w:highlight w:val="white"/>
        </w:rPr>
        <w:t>).</w:t>
      </w:r>
    </w:p>
    <w:p w:rsidR="0083458F" w:rsidRDefault="00FE421F" w:rsidP="00FE421F">
      <w:pPr>
        <w:pStyle w:val="Nadpis3"/>
      </w:pPr>
      <w:r>
        <w:rPr>
          <w:highlight w:val="white"/>
        </w:rPr>
        <w:t>Fragment</w:t>
      </w:r>
    </w:p>
    <w:p w:rsidR="0083458F" w:rsidRDefault="0083458F" w:rsidP="00A42500">
      <w:r>
        <w:rPr>
          <w:highlight w:val="white"/>
        </w:rPr>
        <w:t>Nepřímo popisuje sekundární zdroj na základě primárního zdroje určeného předešlými částmi URI. Může popisovat nějakou konkrétní část (např. kapitolu knihy) tohoto zdroje, nějaký jinou reprezentaci příslušného zdroje apod.</w:t>
      </w:r>
    </w:p>
    <w:p w:rsidR="0083458F" w:rsidRDefault="0083458F" w:rsidP="0083458F">
      <w:pPr>
        <w:ind w:left="285"/>
      </w:pPr>
    </w:p>
    <w:p w:rsidR="0083458F" w:rsidRDefault="0083458F" w:rsidP="0083458F">
      <w:r>
        <w:t>URI je nadmnožinou URL. URI se nevztahuje jenom na umístění na webu, takže URI může být například odkaz na email.</w:t>
      </w:r>
    </w:p>
    <w:p w:rsidR="0083458F" w:rsidRDefault="0083458F" w:rsidP="0083458F">
      <w:r>
        <w:t>Je to neofic</w:t>
      </w:r>
      <w:r w:rsidR="00A42500">
        <w:t>i</w:t>
      </w:r>
      <w:r>
        <w:t>ální název pro často používané schémata jako http, mailto a podobně.</w:t>
      </w:r>
    </w:p>
    <w:p w:rsidR="0083458F" w:rsidRDefault="0083458F" w:rsidP="0083458F">
      <w:r>
        <w:t>Z toho vyplývá, že zkratka URL je vzhledem k druhu zdroje mnohem konkrétnější. Pokud si tedy zrovna nejsme jisti</w:t>
      </w:r>
      <w:r w:rsidR="00BD5639">
        <w:t>,</w:t>
      </w:r>
      <w:r>
        <w:t xml:space="preserve"> zda zdroj spadá pod URL, používejme raději URI.</w:t>
      </w:r>
    </w:p>
    <w:p w:rsidR="0083458F" w:rsidRDefault="0083458F" w:rsidP="008741F0">
      <w:r>
        <w:t xml:space="preserve">Oproti URI popisuje </w:t>
      </w:r>
      <w:r>
        <w:rPr>
          <w:b/>
        </w:rPr>
        <w:t>URL</w:t>
      </w:r>
      <w:r>
        <w:t xml:space="preserve"> primárně způsob, jakým se lze ke zdroji dostat, naopak </w:t>
      </w:r>
      <w:r>
        <w:rPr>
          <w:b/>
        </w:rPr>
        <w:t>URN</w:t>
      </w:r>
      <w:r>
        <w:t xml:space="preserve"> specifikuje zdroj jako takový a nesnaží se o návod k jeho dosažení. </w:t>
      </w:r>
      <w:r>
        <w:lastRenderedPageBreak/>
        <w:t>Hranice mezi těmito typy je však mírně mlhavá a zejména místo URL se často uvádí obecnější termín URI.</w:t>
      </w:r>
    </w:p>
    <w:p w:rsidR="0083458F" w:rsidRDefault="0083458F" w:rsidP="0083458F"/>
    <w:p w:rsidR="00676077" w:rsidRPr="00676077" w:rsidRDefault="00676077" w:rsidP="00676077">
      <w:pPr>
        <w:rPr>
          <w:lang w:eastAsia="cs-CZ"/>
        </w:rPr>
      </w:pPr>
    </w:p>
    <w:sectPr w:rsidR="00676077" w:rsidRPr="00676077" w:rsidSect="00002876">
      <w:headerReference w:type="default" r:id="rId10"/>
      <w:footerReference w:type="default" r:id="rId11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132" w:rsidRDefault="00833132" w:rsidP="006537B9">
      <w:pPr>
        <w:spacing w:line="240" w:lineRule="auto"/>
      </w:pPr>
      <w:r>
        <w:separator/>
      </w:r>
    </w:p>
  </w:endnote>
  <w:endnote w:type="continuationSeparator" w:id="0">
    <w:p w:rsidR="00833132" w:rsidRDefault="00833132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6C" w:rsidRDefault="00774D35" w:rsidP="00C71778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036862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036862" w:rsidP="00C71778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3419212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76077">
          <w:rPr>
            <w:color w:val="7030A0"/>
          </w:rPr>
          <w:t>22. Adresace v sítích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132" w:rsidRDefault="00833132" w:rsidP="006537B9">
      <w:pPr>
        <w:spacing w:line="240" w:lineRule="auto"/>
      </w:pPr>
      <w:r>
        <w:separator/>
      </w:r>
    </w:p>
  </w:footnote>
  <w:footnote w:type="continuationSeparator" w:id="0">
    <w:p w:rsidR="00833132" w:rsidRDefault="00833132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03686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93826168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02876">
          <w:rPr>
            <w:color w:val="7030A0"/>
          </w:rPr>
          <w:t>POS - Počítačové Sítě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8257170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208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22862219"/>
    <w:multiLevelType w:val="multilevel"/>
    <w:tmpl w:val="B3AC6476"/>
    <w:numStyleLink w:val="Finallist"/>
  </w:abstractNum>
  <w:abstractNum w:abstractNumId="3" w15:restartNumberingAfterBreak="0">
    <w:nsid w:val="3C792221"/>
    <w:multiLevelType w:val="multilevel"/>
    <w:tmpl w:val="B3AC6476"/>
    <w:numStyleLink w:val="Finallist"/>
  </w:abstractNum>
  <w:abstractNum w:abstractNumId="4" w15:restartNumberingAfterBreak="0">
    <w:nsid w:val="45434CC4"/>
    <w:multiLevelType w:val="multilevel"/>
    <w:tmpl w:val="B3AC6476"/>
    <w:numStyleLink w:val="Finallist"/>
  </w:abstractNum>
  <w:abstractNum w:abstractNumId="5" w15:restartNumberingAfterBreak="0">
    <w:nsid w:val="497E22F1"/>
    <w:multiLevelType w:val="multilevel"/>
    <w:tmpl w:val="B3AC6476"/>
    <w:numStyleLink w:val="Finallist"/>
  </w:abstractNum>
  <w:abstractNum w:abstractNumId="6" w15:restartNumberingAfterBreak="0">
    <w:nsid w:val="75DA0BF3"/>
    <w:multiLevelType w:val="multilevel"/>
    <w:tmpl w:val="18B413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</w:abstractNum>
  <w:abstractNum w:abstractNumId="7" w15:restartNumberingAfterBreak="0">
    <w:nsid w:val="7CCA1F3B"/>
    <w:multiLevelType w:val="multilevel"/>
    <w:tmpl w:val="B3AC6476"/>
    <w:numStyleLink w:val="Finallist"/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ED"/>
    <w:rsid w:val="00002876"/>
    <w:rsid w:val="00036862"/>
    <w:rsid w:val="00070609"/>
    <w:rsid w:val="00073C3E"/>
    <w:rsid w:val="000745B7"/>
    <w:rsid w:val="00076DB0"/>
    <w:rsid w:val="00080DE6"/>
    <w:rsid w:val="000830C4"/>
    <w:rsid w:val="0008783C"/>
    <w:rsid w:val="00090A40"/>
    <w:rsid w:val="000B2BDD"/>
    <w:rsid w:val="000C17CD"/>
    <w:rsid w:val="000D7B23"/>
    <w:rsid w:val="000E132A"/>
    <w:rsid w:val="00105599"/>
    <w:rsid w:val="001103E4"/>
    <w:rsid w:val="00125249"/>
    <w:rsid w:val="00132417"/>
    <w:rsid w:val="001427B3"/>
    <w:rsid w:val="00152FA9"/>
    <w:rsid w:val="00155699"/>
    <w:rsid w:val="00165443"/>
    <w:rsid w:val="001657E7"/>
    <w:rsid w:val="001662D1"/>
    <w:rsid w:val="00170E9A"/>
    <w:rsid w:val="00182B1F"/>
    <w:rsid w:val="001B1B32"/>
    <w:rsid w:val="001B3EB7"/>
    <w:rsid w:val="001C4C2E"/>
    <w:rsid w:val="001D0E4B"/>
    <w:rsid w:val="001E5EFB"/>
    <w:rsid w:val="001E6037"/>
    <w:rsid w:val="002032B2"/>
    <w:rsid w:val="00207255"/>
    <w:rsid w:val="00211802"/>
    <w:rsid w:val="0022489A"/>
    <w:rsid w:val="00232969"/>
    <w:rsid w:val="002455C6"/>
    <w:rsid w:val="00263EBD"/>
    <w:rsid w:val="002770DF"/>
    <w:rsid w:val="00283839"/>
    <w:rsid w:val="00287567"/>
    <w:rsid w:val="00296714"/>
    <w:rsid w:val="002975D5"/>
    <w:rsid w:val="002A2DED"/>
    <w:rsid w:val="002B364D"/>
    <w:rsid w:val="002D58B4"/>
    <w:rsid w:val="002D6E9C"/>
    <w:rsid w:val="002E0452"/>
    <w:rsid w:val="002F4373"/>
    <w:rsid w:val="002F5BDD"/>
    <w:rsid w:val="00312454"/>
    <w:rsid w:val="00315CAB"/>
    <w:rsid w:val="00325841"/>
    <w:rsid w:val="003335B6"/>
    <w:rsid w:val="00344CEA"/>
    <w:rsid w:val="00350C12"/>
    <w:rsid w:val="00356FA9"/>
    <w:rsid w:val="003578EF"/>
    <w:rsid w:val="00364E32"/>
    <w:rsid w:val="0036547B"/>
    <w:rsid w:val="00391328"/>
    <w:rsid w:val="00391C5E"/>
    <w:rsid w:val="00397C86"/>
    <w:rsid w:val="003A6F86"/>
    <w:rsid w:val="003B3BDB"/>
    <w:rsid w:val="003C6D68"/>
    <w:rsid w:val="003D1742"/>
    <w:rsid w:val="003E112E"/>
    <w:rsid w:val="003E17D4"/>
    <w:rsid w:val="003F08A0"/>
    <w:rsid w:val="004258D7"/>
    <w:rsid w:val="0044064F"/>
    <w:rsid w:val="00474C3D"/>
    <w:rsid w:val="004802F6"/>
    <w:rsid w:val="004818E2"/>
    <w:rsid w:val="004841D1"/>
    <w:rsid w:val="00490113"/>
    <w:rsid w:val="00490B90"/>
    <w:rsid w:val="004952B5"/>
    <w:rsid w:val="00496A64"/>
    <w:rsid w:val="004A1A53"/>
    <w:rsid w:val="004A5EAB"/>
    <w:rsid w:val="004C66D6"/>
    <w:rsid w:val="004E221D"/>
    <w:rsid w:val="004F026F"/>
    <w:rsid w:val="004F10D7"/>
    <w:rsid w:val="00515D68"/>
    <w:rsid w:val="00520CB8"/>
    <w:rsid w:val="00525AB9"/>
    <w:rsid w:val="00535DFA"/>
    <w:rsid w:val="00547233"/>
    <w:rsid w:val="005475BD"/>
    <w:rsid w:val="00562B2E"/>
    <w:rsid w:val="00564593"/>
    <w:rsid w:val="005A20F7"/>
    <w:rsid w:val="005A5487"/>
    <w:rsid w:val="005B0DC0"/>
    <w:rsid w:val="005B2F48"/>
    <w:rsid w:val="005B5484"/>
    <w:rsid w:val="005C1FE4"/>
    <w:rsid w:val="005D1718"/>
    <w:rsid w:val="005E30E9"/>
    <w:rsid w:val="005E472D"/>
    <w:rsid w:val="005F0531"/>
    <w:rsid w:val="0060553A"/>
    <w:rsid w:val="006249F4"/>
    <w:rsid w:val="00636E73"/>
    <w:rsid w:val="0064256C"/>
    <w:rsid w:val="00651301"/>
    <w:rsid w:val="006537B9"/>
    <w:rsid w:val="0066321D"/>
    <w:rsid w:val="00667E45"/>
    <w:rsid w:val="00673D23"/>
    <w:rsid w:val="006742FE"/>
    <w:rsid w:val="00676077"/>
    <w:rsid w:val="00687016"/>
    <w:rsid w:val="00687C50"/>
    <w:rsid w:val="00690BF0"/>
    <w:rsid w:val="006A477D"/>
    <w:rsid w:val="006A726A"/>
    <w:rsid w:val="006D114D"/>
    <w:rsid w:val="006D7BAB"/>
    <w:rsid w:val="006F06F4"/>
    <w:rsid w:val="00702CE0"/>
    <w:rsid w:val="00703139"/>
    <w:rsid w:val="00703567"/>
    <w:rsid w:val="00704607"/>
    <w:rsid w:val="0071521E"/>
    <w:rsid w:val="00725EED"/>
    <w:rsid w:val="00734E59"/>
    <w:rsid w:val="00742532"/>
    <w:rsid w:val="00754A1B"/>
    <w:rsid w:val="00774D35"/>
    <w:rsid w:val="007808B9"/>
    <w:rsid w:val="007B5987"/>
    <w:rsid w:val="007B7A52"/>
    <w:rsid w:val="007C34AE"/>
    <w:rsid w:val="007C7B57"/>
    <w:rsid w:val="007D59CD"/>
    <w:rsid w:val="007D78F3"/>
    <w:rsid w:val="007E2A7D"/>
    <w:rsid w:val="007E3C6C"/>
    <w:rsid w:val="008042B9"/>
    <w:rsid w:val="0081654E"/>
    <w:rsid w:val="00817078"/>
    <w:rsid w:val="0082572D"/>
    <w:rsid w:val="00831263"/>
    <w:rsid w:val="00833132"/>
    <w:rsid w:val="008335B7"/>
    <w:rsid w:val="0083458F"/>
    <w:rsid w:val="00835C29"/>
    <w:rsid w:val="008741F0"/>
    <w:rsid w:val="00874E0F"/>
    <w:rsid w:val="00876BDF"/>
    <w:rsid w:val="00884031"/>
    <w:rsid w:val="00897368"/>
    <w:rsid w:val="008A35EC"/>
    <w:rsid w:val="008A7647"/>
    <w:rsid w:val="008B6395"/>
    <w:rsid w:val="008D5E45"/>
    <w:rsid w:val="008F232A"/>
    <w:rsid w:val="00906D53"/>
    <w:rsid w:val="00906EED"/>
    <w:rsid w:val="00923A96"/>
    <w:rsid w:val="00923CEE"/>
    <w:rsid w:val="0092757F"/>
    <w:rsid w:val="00931D55"/>
    <w:rsid w:val="00932189"/>
    <w:rsid w:val="00933488"/>
    <w:rsid w:val="00945582"/>
    <w:rsid w:val="009620A7"/>
    <w:rsid w:val="00963F29"/>
    <w:rsid w:val="009808BF"/>
    <w:rsid w:val="00981066"/>
    <w:rsid w:val="00985BDB"/>
    <w:rsid w:val="00986C47"/>
    <w:rsid w:val="009937CA"/>
    <w:rsid w:val="0099771D"/>
    <w:rsid w:val="009A519D"/>
    <w:rsid w:val="009B7F4F"/>
    <w:rsid w:val="009C2951"/>
    <w:rsid w:val="009D220E"/>
    <w:rsid w:val="009D3899"/>
    <w:rsid w:val="009F2889"/>
    <w:rsid w:val="009F3459"/>
    <w:rsid w:val="00A239C2"/>
    <w:rsid w:val="00A27F6E"/>
    <w:rsid w:val="00A32A4D"/>
    <w:rsid w:val="00A42500"/>
    <w:rsid w:val="00A63927"/>
    <w:rsid w:val="00A66F70"/>
    <w:rsid w:val="00A862DF"/>
    <w:rsid w:val="00A9168D"/>
    <w:rsid w:val="00A93EE9"/>
    <w:rsid w:val="00A940EA"/>
    <w:rsid w:val="00AA25C9"/>
    <w:rsid w:val="00AB3674"/>
    <w:rsid w:val="00AC733C"/>
    <w:rsid w:val="00AD03A8"/>
    <w:rsid w:val="00AD6427"/>
    <w:rsid w:val="00AE1A74"/>
    <w:rsid w:val="00AE6824"/>
    <w:rsid w:val="00AE7540"/>
    <w:rsid w:val="00B036E4"/>
    <w:rsid w:val="00B04F8E"/>
    <w:rsid w:val="00B108F3"/>
    <w:rsid w:val="00B13CE7"/>
    <w:rsid w:val="00B15DE0"/>
    <w:rsid w:val="00B23396"/>
    <w:rsid w:val="00B24C29"/>
    <w:rsid w:val="00B34540"/>
    <w:rsid w:val="00B35122"/>
    <w:rsid w:val="00B60C60"/>
    <w:rsid w:val="00B64889"/>
    <w:rsid w:val="00B73D65"/>
    <w:rsid w:val="00B7430A"/>
    <w:rsid w:val="00B83727"/>
    <w:rsid w:val="00BA7DC6"/>
    <w:rsid w:val="00BB416B"/>
    <w:rsid w:val="00BB70B6"/>
    <w:rsid w:val="00BC1098"/>
    <w:rsid w:val="00BC12B0"/>
    <w:rsid w:val="00BC7F69"/>
    <w:rsid w:val="00BD5639"/>
    <w:rsid w:val="00BE0303"/>
    <w:rsid w:val="00BF0A32"/>
    <w:rsid w:val="00C020D6"/>
    <w:rsid w:val="00C03EBD"/>
    <w:rsid w:val="00C06967"/>
    <w:rsid w:val="00C163DB"/>
    <w:rsid w:val="00C2196C"/>
    <w:rsid w:val="00C229F4"/>
    <w:rsid w:val="00C22E2C"/>
    <w:rsid w:val="00C5306E"/>
    <w:rsid w:val="00C53F8C"/>
    <w:rsid w:val="00C558ED"/>
    <w:rsid w:val="00C6257E"/>
    <w:rsid w:val="00C62BD8"/>
    <w:rsid w:val="00C66B0B"/>
    <w:rsid w:val="00C71778"/>
    <w:rsid w:val="00C808A0"/>
    <w:rsid w:val="00CB3D4B"/>
    <w:rsid w:val="00CC091B"/>
    <w:rsid w:val="00CC28C1"/>
    <w:rsid w:val="00CC4031"/>
    <w:rsid w:val="00CC533D"/>
    <w:rsid w:val="00CD18A2"/>
    <w:rsid w:val="00CD2D1A"/>
    <w:rsid w:val="00D100F3"/>
    <w:rsid w:val="00D14A50"/>
    <w:rsid w:val="00D361DB"/>
    <w:rsid w:val="00D46B8F"/>
    <w:rsid w:val="00D502FA"/>
    <w:rsid w:val="00D5463B"/>
    <w:rsid w:val="00D86D27"/>
    <w:rsid w:val="00D96196"/>
    <w:rsid w:val="00DA6C1A"/>
    <w:rsid w:val="00DB2A4E"/>
    <w:rsid w:val="00DC3AB3"/>
    <w:rsid w:val="00DC4564"/>
    <w:rsid w:val="00DD3B6D"/>
    <w:rsid w:val="00DF2069"/>
    <w:rsid w:val="00DF6912"/>
    <w:rsid w:val="00E01EA3"/>
    <w:rsid w:val="00E02D26"/>
    <w:rsid w:val="00E20954"/>
    <w:rsid w:val="00E2527D"/>
    <w:rsid w:val="00E37DF7"/>
    <w:rsid w:val="00E425BD"/>
    <w:rsid w:val="00E84A46"/>
    <w:rsid w:val="00EB3EEE"/>
    <w:rsid w:val="00EF51B6"/>
    <w:rsid w:val="00EF7E7B"/>
    <w:rsid w:val="00F07AC6"/>
    <w:rsid w:val="00F15F1E"/>
    <w:rsid w:val="00F23748"/>
    <w:rsid w:val="00F23CE2"/>
    <w:rsid w:val="00F30463"/>
    <w:rsid w:val="00F40896"/>
    <w:rsid w:val="00F46B6F"/>
    <w:rsid w:val="00F64AA5"/>
    <w:rsid w:val="00F64BE4"/>
    <w:rsid w:val="00F67E6E"/>
    <w:rsid w:val="00F7146B"/>
    <w:rsid w:val="00F92DF3"/>
    <w:rsid w:val="00FB0A14"/>
    <w:rsid w:val="00FB2D0B"/>
    <w:rsid w:val="00FC29DD"/>
    <w:rsid w:val="00FD0019"/>
    <w:rsid w:val="00FE2C8C"/>
    <w:rsid w:val="00FE421F"/>
    <w:rsid w:val="00FE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17D5"/>
  <w15:chartTrackingRefBased/>
  <w15:docId w15:val="{30964050-908D-4F37-98EB-41DE6FE9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558ED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64889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character" w:customStyle="1" w:styleId="Nadpis5Char">
    <w:name w:val="Nadpis 5 Char"/>
    <w:basedOn w:val="Standardnpsmoodstavce"/>
    <w:link w:val="Nadpis5"/>
    <w:uiPriority w:val="9"/>
    <w:rsid w:val="00B64889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  <w:style w:type="paragraph" w:styleId="Nzev">
    <w:name w:val="Title"/>
    <w:basedOn w:val="Normln"/>
    <w:next w:val="Normln"/>
    <w:link w:val="NzevChar"/>
    <w:rsid w:val="0083458F"/>
    <w:pPr>
      <w:spacing w:before="480" w:after="120"/>
      <w:ind w:left="135" w:firstLine="0"/>
      <w:jc w:val="center"/>
    </w:pPr>
    <w:rPr>
      <w:rFonts w:ascii="Arial" w:eastAsia="Arial" w:hAnsi="Arial" w:cs="Arial"/>
      <w:b/>
      <w:color w:val="000000"/>
      <w:sz w:val="48"/>
      <w:lang w:eastAsia="cs-CZ"/>
    </w:rPr>
  </w:style>
  <w:style w:type="character" w:customStyle="1" w:styleId="NzevChar">
    <w:name w:val="Název Char"/>
    <w:basedOn w:val="Standardnpsmoodstavce"/>
    <w:link w:val="Nzev"/>
    <w:rsid w:val="0083458F"/>
    <w:rPr>
      <w:rFonts w:ascii="Arial" w:eastAsia="Arial" w:hAnsi="Arial" w:cs="Arial"/>
      <w:b/>
      <w:color w:val="000000"/>
      <w:sz w:val="48"/>
      <w:lang w:eastAsia="cs-CZ"/>
    </w:rPr>
  </w:style>
  <w:style w:type="paragraph" w:styleId="Odstavecseseznamem">
    <w:name w:val="List Paragraph"/>
    <w:basedOn w:val="Normln"/>
    <w:uiPriority w:val="34"/>
    <w:qFormat/>
    <w:rsid w:val="00BC12B0"/>
    <w:pPr>
      <w:ind w:left="720"/>
      <w:contextualSpacing/>
    </w:pPr>
  </w:style>
  <w:style w:type="paragraph" w:customStyle="1" w:styleId="Default">
    <w:name w:val="Default"/>
    <w:rsid w:val="005E472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B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OS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7429D-46AC-46D2-A6CD-F93FC64CD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POS.dotm</Template>
  <TotalTime>126</TotalTime>
  <Pages>7</Pages>
  <Words>2246</Words>
  <Characters>13254</Characters>
  <Application>Microsoft Office Word</Application>
  <DocSecurity>0</DocSecurity>
  <Lines>110</Lines>
  <Paragraphs>30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17</vt:i4>
      </vt:variant>
    </vt:vector>
  </HeadingPairs>
  <TitlesOfParts>
    <vt:vector size="18" baseType="lpstr">
      <vt:lpstr>22. Adresace v sítích</vt:lpstr>
      <vt:lpstr>22. Adresace v sítích</vt:lpstr>
      <vt:lpstr>    MAC; Media Access Control</vt:lpstr>
      <vt:lpstr>        Jedinečnost adres</vt:lpstr>
      <vt:lpstr>        Zjištění MAC adresy</vt:lpstr>
      <vt:lpstr>    IP</vt:lpstr>
      <vt:lpstr>        Druhy IP adres</vt:lpstr>
      <vt:lpstr>        IPv4</vt:lpstr>
      <vt:lpstr>        IP Aritmetika</vt:lpstr>
      <vt:lpstr>        IPv6</vt:lpstr>
      <vt:lpstr>    Porty</vt:lpstr>
      <vt:lpstr>    Adresace v sítích IPX/SPX</vt:lpstr>
      <vt:lpstr>        Pro adresaci v síti pak platí tyto zásady:</vt:lpstr>
      <vt:lpstr>    URI</vt:lpstr>
      <vt:lpstr>        Schéma</vt:lpstr>
      <vt:lpstr>        Hierarchická část</vt:lpstr>
      <vt:lpstr>        Dotaz</vt:lpstr>
      <vt:lpstr>        Fragment</vt:lpstr>
    </vt:vector>
  </TitlesOfParts>
  <Manager>Rostislav Matějičný</Manager>
  <Company>BLAKKWOOD</Company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22. Adresace v sítích</dc:title>
  <dc:subject>POS - Počítačové Sítě</dc:subject>
  <dc:creator>Ash258</dc:creator>
  <cp:keywords>POS;22</cp:keywords>
  <dc:description/>
  <cp:lastModifiedBy>Ash258</cp:lastModifiedBy>
  <cp:revision>241</cp:revision>
  <dcterms:created xsi:type="dcterms:W3CDTF">2016-05-07T18:45:00Z</dcterms:created>
  <dcterms:modified xsi:type="dcterms:W3CDTF">2016-05-18T00:25:00Z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