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9B5" w:rsidRDefault="001E09B5" w:rsidP="001E09B5">
      <w:pPr>
        <w:pStyle w:val="Nadpis1"/>
      </w:pPr>
      <w:bookmarkStart w:id="0" w:name="_Toc435197046"/>
      <w:r>
        <w:t>11. Standardní datové typy jazyka JAVA (rozdělení, rozsahy)</w:t>
      </w:r>
      <w:bookmarkEnd w:id="0"/>
    </w:p>
    <w:p w:rsidR="001E09B5" w:rsidRDefault="001E09B5" w:rsidP="001E09B5">
      <w:pPr>
        <w:pStyle w:val="Nadpis2"/>
        <w:rPr>
          <w:lang w:eastAsia="cs-CZ"/>
        </w:rPr>
      </w:pPr>
      <w:r>
        <w:t>Datový Typ</w:t>
      </w:r>
    </w:p>
    <w:p w:rsidR="001E09B5" w:rsidRDefault="001E09B5" w:rsidP="001E09B5">
      <w:r>
        <w:t>V programování definuje druh nebo význam hodnot, kte</w:t>
      </w:r>
      <w:r w:rsidR="00FA6880">
        <w:t>rých smí nabývat proměnná (</w:t>
      </w:r>
      <w:r>
        <w:t>konstanta). Datový typ je určen oborem hodnot a zároveň výpočetními operacemi, které lze s hodnotami tohoto typu provádět</w:t>
      </w:r>
    </w:p>
    <w:p w:rsidR="001E09B5" w:rsidRDefault="001E09B5" w:rsidP="001E09B5">
      <w:pPr>
        <w:pStyle w:val="Nadpis2"/>
      </w:pPr>
      <w:r>
        <w:t xml:space="preserve">Proměnné </w:t>
      </w:r>
    </w:p>
    <w:p w:rsidR="001E09B5" w:rsidRDefault="00C40978" w:rsidP="001E09B5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1E09B5">
        <w:rPr>
          <w:rFonts w:cs="Times New Roman"/>
          <w:szCs w:val="24"/>
        </w:rPr>
        <w:t xml:space="preserve">ísto v paměti dle typu, který říká, jakou bude mít velikost a jaké operace s proměnou se dají provádět. Vytvoření proměnné se skládá z názvu typu a jména proměnné. V proměnných se můžou uchovávat celá čísla, znaky, nebo ukazatele na objekt. Proměnná na rozdíl od konstant umožňuje měnit svojí hodnotu. </w:t>
      </w:r>
    </w:p>
    <w:p w:rsidR="001E09B5" w:rsidRDefault="001E09B5" w:rsidP="001E09B5">
      <w:r>
        <w:rPr>
          <w:rFonts w:cs="Times New Roman"/>
          <w:szCs w:val="24"/>
        </w:rPr>
        <w:t>Deklarace proměnné je vytvoření místa v paměti dle určitého typu. Násl</w:t>
      </w:r>
      <w:r w:rsidR="007C2615">
        <w:rPr>
          <w:rFonts w:cs="Times New Roman"/>
          <w:szCs w:val="24"/>
        </w:rPr>
        <w:t>edně je doporučená inicializace</w:t>
      </w:r>
      <w:r>
        <w:rPr>
          <w:rFonts w:cs="Times New Roman"/>
          <w:szCs w:val="24"/>
        </w:rPr>
        <w:t xml:space="preserve"> </w:t>
      </w:r>
      <w:r w:rsidR="007C2615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přiřazení</w:t>
      </w:r>
      <w:r w:rsidR="007C2615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počáteční hodnoty proměnné, není nutná, ale doporučuje se prová</w:t>
      </w:r>
      <w:r w:rsidR="00FC5867">
        <w:rPr>
          <w:rFonts w:cs="Times New Roman"/>
          <w:szCs w:val="24"/>
        </w:rPr>
        <w:t>dět vždy, kdy</w:t>
      </w:r>
      <w:bookmarkStart w:id="1" w:name="_GoBack"/>
      <w:bookmarkEnd w:id="1"/>
      <w:r>
        <w:rPr>
          <w:rFonts w:cs="Times New Roman"/>
          <w:szCs w:val="24"/>
        </w:rPr>
        <w:t xml:space="preserve"> je to možné. </w:t>
      </w:r>
    </w:p>
    <w:p w:rsidR="001E09B5" w:rsidRDefault="001E09B5" w:rsidP="001E09B5">
      <w:pPr>
        <w:pStyle w:val="Nadpis2"/>
      </w:pPr>
      <w:r>
        <w:t xml:space="preserve">Konstanty </w:t>
      </w:r>
    </w:p>
    <w:p w:rsidR="001E09B5" w:rsidRDefault="001E09B5" w:rsidP="001E09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Konstanty v jazyce Java jsou stejné jako proměnné s tím rozdílem že se před název typu napíše klíčové slovo </w:t>
      </w:r>
      <w:r>
        <w:rPr>
          <w:rStyle w:val="Nadpis3Char"/>
        </w:rPr>
        <w:t>final</w:t>
      </w:r>
      <w:r>
        <w:rPr>
          <w:rFonts w:cs="Times New Roman"/>
          <w:szCs w:val="24"/>
        </w:rPr>
        <w:t xml:space="preserve">. Konstanta nemůže během svého života měnit svou hodnotu. </w:t>
      </w:r>
    </w:p>
    <w:p w:rsidR="001E09B5" w:rsidRDefault="001E09B5" w:rsidP="001E09B5">
      <w:r>
        <w:rPr>
          <w:rFonts w:cs="Times New Roman"/>
          <w:szCs w:val="24"/>
        </w:rPr>
        <w:t>Deklarace konstanty je stejně jako u proměnných vytvoření místa v pamět</w:t>
      </w:r>
      <w:r w:rsidR="00843775">
        <w:rPr>
          <w:rFonts w:cs="Times New Roman"/>
          <w:szCs w:val="24"/>
        </w:rPr>
        <w:t>i určitého typu. Pokud je známo</w:t>
      </w:r>
      <w:r w:rsidR="00F944C2">
        <w:rPr>
          <w:rFonts w:cs="Times New Roman"/>
          <w:szCs w:val="24"/>
        </w:rPr>
        <w:t>, jaká</w:t>
      </w:r>
      <w:r>
        <w:rPr>
          <w:rFonts w:cs="Times New Roman"/>
          <w:szCs w:val="24"/>
        </w:rPr>
        <w:t xml:space="preserve"> hodnot</w:t>
      </w:r>
      <w:r w:rsidR="00F944C2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="00F944C2">
        <w:rPr>
          <w:rFonts w:cs="Times New Roman"/>
          <w:szCs w:val="24"/>
        </w:rPr>
        <w:t xml:space="preserve">se bude do konstanty </w:t>
      </w:r>
      <w:r w:rsidR="00693279">
        <w:rPr>
          <w:rFonts w:cs="Times New Roman"/>
          <w:szCs w:val="24"/>
        </w:rPr>
        <w:t>přiřazovat, pak se může</w:t>
      </w:r>
      <w:r>
        <w:rPr>
          <w:rFonts w:cs="Times New Roman"/>
          <w:szCs w:val="24"/>
        </w:rPr>
        <w:t xml:space="preserve"> inicializovat ihned. Jinak se konstanta nechá neinicializovaná, a hodn</w:t>
      </w:r>
      <w:r w:rsidR="008F083A">
        <w:rPr>
          <w:rFonts w:cs="Times New Roman"/>
          <w:szCs w:val="24"/>
        </w:rPr>
        <w:t>ota se jí přiřadí, až bude známa</w:t>
      </w:r>
      <w:r>
        <w:rPr>
          <w:rFonts w:cs="Times New Roman"/>
          <w:szCs w:val="24"/>
        </w:rPr>
        <w:t>.</w:t>
      </w:r>
    </w:p>
    <w:p w:rsidR="001E09B5" w:rsidRDefault="001E09B5" w:rsidP="001E09B5">
      <w:pPr>
        <w:pStyle w:val="Nadpis2"/>
      </w:pPr>
      <w:r>
        <w:t xml:space="preserve">Pojmenování </w:t>
      </w:r>
    </w:p>
    <w:p w:rsidR="001E09B5" w:rsidRDefault="001E09B5" w:rsidP="001E09B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Názvy proměnných a konstant by měli odpovídat jejich použití. </w:t>
      </w:r>
    </w:p>
    <w:p w:rsidR="001E09B5" w:rsidRDefault="001E09B5" w:rsidP="001E09B5">
      <w:r>
        <w:rPr>
          <w:rFonts w:cs="Times New Roman"/>
          <w:szCs w:val="24"/>
        </w:rPr>
        <w:lastRenderedPageBreak/>
        <w:t>Názvy proměnných musí začínat malým písmenem, dále pokračují také malými písmeny, pokud se název skládá z několika slov, použije se velbloudíNotace (camelCase).</w:t>
      </w:r>
    </w:p>
    <w:p w:rsidR="001E09B5" w:rsidRDefault="001E09B5" w:rsidP="001E09B5">
      <w:pPr>
        <w:rPr>
          <w:rFonts w:cs="Times New Roman"/>
          <w:szCs w:val="24"/>
        </w:rPr>
      </w:pPr>
      <w:r>
        <w:rPr>
          <w:rFonts w:cs="Times New Roman"/>
          <w:szCs w:val="24"/>
        </w:rPr>
        <w:t>Názvy konstant se udávají velkými písmeny. Pokud se skládá z více slov, používá se podtržítko.</w:t>
      </w:r>
    </w:p>
    <w:p w:rsidR="001E09B5" w:rsidRDefault="001E09B5" w:rsidP="001E09B5">
      <w:pPr>
        <w:pStyle w:val="Nadpis4"/>
        <w:ind w:firstLine="708"/>
        <w:rPr>
          <w:lang w:val="cs-CZ"/>
        </w:rPr>
      </w:pPr>
      <w:r>
        <w:rPr>
          <w:color w:val="C45911" w:themeColor="accent2" w:themeShade="BF"/>
          <w:lang w:val="cs-CZ"/>
        </w:rPr>
        <w:t xml:space="preserve">public </w:t>
      </w:r>
      <w:r>
        <w:rPr>
          <w:rFonts w:eastAsia="Calibri"/>
          <w:color w:val="C45911" w:themeColor="accent2" w:themeShade="BF"/>
          <w:lang w:val="cs-CZ"/>
        </w:rPr>
        <w:t>static</w:t>
      </w:r>
      <w:r>
        <w:rPr>
          <w:color w:val="C45911" w:themeColor="accent2" w:themeShade="BF"/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final</w:t>
      </w:r>
      <w:r>
        <w:rPr>
          <w:color w:val="C45911" w:themeColor="accent2" w:themeShade="BF"/>
          <w:lang w:val="cs-CZ"/>
        </w:rPr>
        <w:t xml:space="preserve"> </w:t>
      </w:r>
      <w:r>
        <w:rPr>
          <w:rFonts w:eastAsia="Times New Roman"/>
          <w:color w:val="C45911" w:themeColor="accent2" w:themeShade="BF"/>
          <w:lang w:val="cs-CZ" w:eastAsia="cs-CZ"/>
        </w:rPr>
        <w:t>double</w:t>
      </w:r>
      <w:r>
        <w:rPr>
          <w:lang w:val="cs-CZ"/>
        </w:rPr>
        <w:t xml:space="preserve"> KONSTANTA_PI = </w:t>
      </w:r>
      <w:r>
        <w:rPr>
          <w:color w:val="2E74B5" w:themeColor="accent1" w:themeShade="BF"/>
          <w:lang w:val="cs-CZ"/>
        </w:rPr>
        <w:t>3.14159265359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</w:t>
      </w:r>
    </w:p>
    <w:p w:rsidR="001E09B5" w:rsidRDefault="001E09B5" w:rsidP="001E09B5">
      <w:pPr>
        <w:pStyle w:val="Nadpis2"/>
      </w:pPr>
      <w:r>
        <w:t xml:space="preserve">Primitivní datové typy </w:t>
      </w:r>
    </w:p>
    <w:p w:rsidR="001E09B5" w:rsidRDefault="001E09B5" w:rsidP="001E09B5">
      <w:pPr>
        <w:rPr>
          <w:rFonts w:cs="Times New Roman"/>
          <w:szCs w:val="24"/>
        </w:rPr>
      </w:pPr>
      <w:r>
        <w:rPr>
          <w:rFonts w:cs="Times New Roman"/>
          <w:szCs w:val="24"/>
        </w:rPr>
        <w:t>Java má 8 primitivních datových typů. Procesor s primitivními datovými typy může pracovat př</w:t>
      </w:r>
      <w:r w:rsidR="007B41EC">
        <w:rPr>
          <w:rFonts w:cs="Times New Roman"/>
          <w:szCs w:val="24"/>
        </w:rPr>
        <w:t xml:space="preserve">ímo </w:t>
      </w:r>
      <w:r w:rsidR="007B41EC" w:rsidRPr="007B41EC">
        <w:rPr>
          <w:rFonts w:cs="Times New Roman"/>
          <w:szCs w:val="24"/>
        </w:rPr>
        <w:sym w:font="Wingdings" w:char="F0E0"/>
      </w:r>
      <w:r w:rsidR="007B41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rychlá práce s těmito typy. Každý primitivní datový typ může nabývat různých hodnot a hodí se pro jinou práci. Jedná se o čtyři celočíselné typy (</w:t>
      </w:r>
      <w:r>
        <w:rPr>
          <w:rStyle w:val="Nadpis3Char"/>
        </w:rPr>
        <w:t>byte, short, int, long</w:t>
      </w:r>
      <w:r>
        <w:rPr>
          <w:rFonts w:cs="Times New Roman"/>
          <w:szCs w:val="24"/>
        </w:rPr>
        <w:t>), dva typy pro práci s plovoucí desetinou čárkou (</w:t>
      </w:r>
      <w:r>
        <w:rPr>
          <w:rStyle w:val="Nadpis3Char"/>
        </w:rPr>
        <w:t>float, double</w:t>
      </w:r>
      <w:r>
        <w:rPr>
          <w:rFonts w:cs="Times New Roman"/>
          <w:szCs w:val="24"/>
        </w:rPr>
        <w:t>), znakový typ (</w:t>
      </w:r>
      <w:r>
        <w:rPr>
          <w:rStyle w:val="Nadpis3Char"/>
        </w:rPr>
        <w:t>char</w:t>
      </w:r>
      <w:r>
        <w:rPr>
          <w:rFonts w:cs="Times New Roman"/>
          <w:szCs w:val="24"/>
        </w:rPr>
        <w:t>), který nabývá hodnot z ASCII tabulky. A poslední je pravdivostní typ (</w:t>
      </w:r>
      <w:r>
        <w:rPr>
          <w:rStyle w:val="Nadpis3Char"/>
        </w:rPr>
        <w:t>boolean</w:t>
      </w:r>
      <w:r>
        <w:rPr>
          <w:rFonts w:cs="Times New Roman"/>
          <w:szCs w:val="24"/>
        </w:rPr>
        <w:t>).</w:t>
      </w:r>
    </w:p>
    <w:p w:rsidR="001E09B5" w:rsidRDefault="001E09B5" w:rsidP="001E09B5">
      <w:r>
        <w:br w:type="page"/>
      </w:r>
    </w:p>
    <w:p w:rsidR="001E09B5" w:rsidRDefault="001E09B5" w:rsidP="001E09B5">
      <w:pPr>
        <w:pStyle w:val="Nadpis2"/>
      </w:pPr>
      <w:r>
        <w:lastRenderedPageBreak/>
        <w:t>Celočíselné primitivní datové typy</w:t>
      </w: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15"/>
        <w:gridCol w:w="1916"/>
        <w:gridCol w:w="1916"/>
        <w:gridCol w:w="1916"/>
      </w:tblGrid>
      <w:tr w:rsidR="001E09B5" w:rsidTr="001E09B5">
        <w:tc>
          <w:tcPr>
            <w:tcW w:w="2943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Primitivní typ </w:t>
            </w:r>
          </w:p>
        </w:tc>
        <w:tc>
          <w:tcPr>
            <w:tcW w:w="1915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Velikost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Minimum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Maximum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Wrapper Class </w:t>
            </w:r>
          </w:p>
        </w:tc>
      </w:tr>
      <w:tr w:rsidR="001E09B5" w:rsidTr="001E09B5">
        <w:tc>
          <w:tcPr>
            <w:tcW w:w="2943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Byte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915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1B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-2</w:t>
            </w:r>
            <w:r>
              <w:rPr>
                <w:vertAlign w:val="superscript"/>
                <w:lang w:eastAsia="en-US"/>
              </w:rPr>
              <w:t>7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-2</w:t>
            </w:r>
            <w:r>
              <w:rPr>
                <w:vertAlign w:val="superscript"/>
                <w:lang w:eastAsia="en-US"/>
              </w:rPr>
              <w:t>7</w:t>
            </w:r>
            <w:r>
              <w:rPr>
                <w:lang w:eastAsia="en-US"/>
              </w:rPr>
              <w:t xml:space="preserve"> -1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Byte</w:t>
            </w:r>
          </w:p>
        </w:tc>
      </w:tr>
      <w:tr w:rsidR="001E09B5" w:rsidTr="001E09B5">
        <w:tc>
          <w:tcPr>
            <w:tcW w:w="2943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Style w:val="Nadpis3Char"/>
                <w:lang w:eastAsia="en-US"/>
              </w:rPr>
              <w:t>Short</w:t>
            </w:r>
          </w:p>
        </w:tc>
        <w:tc>
          <w:tcPr>
            <w:tcW w:w="1915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2B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-2</w:t>
            </w:r>
            <w:r>
              <w:rPr>
                <w:szCs w:val="24"/>
                <w:vertAlign w:val="superscript"/>
                <w:lang w:eastAsia="en-US"/>
              </w:rPr>
              <w:t>15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-2</w:t>
            </w:r>
            <w:r>
              <w:rPr>
                <w:szCs w:val="24"/>
                <w:vertAlign w:val="superscript"/>
                <w:lang w:eastAsia="en-US"/>
              </w:rPr>
              <w:t>15</w:t>
            </w:r>
            <w:r>
              <w:rPr>
                <w:szCs w:val="24"/>
                <w:lang w:eastAsia="en-US"/>
              </w:rPr>
              <w:t xml:space="preserve"> -1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Short</w:t>
            </w:r>
          </w:p>
        </w:tc>
      </w:tr>
      <w:tr w:rsidR="001E09B5" w:rsidTr="001E09B5">
        <w:tc>
          <w:tcPr>
            <w:tcW w:w="2943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Style w:val="Nadpis3Char"/>
                <w:lang w:eastAsia="en-US"/>
              </w:rPr>
              <w:t>Int</w:t>
            </w:r>
          </w:p>
        </w:tc>
        <w:tc>
          <w:tcPr>
            <w:tcW w:w="1915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4B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-2</w:t>
            </w:r>
            <w:r>
              <w:rPr>
                <w:rFonts w:cs="LiberationSerif"/>
                <w:szCs w:val="24"/>
                <w:vertAlign w:val="superscript"/>
                <w:lang w:eastAsia="en-US"/>
              </w:rPr>
              <w:t>31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-2</w:t>
            </w:r>
            <w:r>
              <w:rPr>
                <w:rFonts w:cs="LiberationSerif"/>
                <w:szCs w:val="24"/>
                <w:vertAlign w:val="superscript"/>
                <w:lang w:eastAsia="en-US"/>
              </w:rPr>
              <w:t xml:space="preserve">31 </w:t>
            </w:r>
            <w:r>
              <w:rPr>
                <w:rFonts w:cs="LiberationSerif"/>
                <w:szCs w:val="24"/>
                <w:lang w:eastAsia="en-US"/>
              </w:rPr>
              <w:t>-1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Integer</w:t>
            </w:r>
          </w:p>
        </w:tc>
      </w:tr>
      <w:tr w:rsidR="001E09B5" w:rsidTr="001E09B5">
        <w:tc>
          <w:tcPr>
            <w:tcW w:w="2943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Style w:val="Nadpis3Char"/>
                <w:lang w:eastAsia="en-US"/>
              </w:rPr>
              <w:t>Long</w:t>
            </w:r>
          </w:p>
        </w:tc>
        <w:tc>
          <w:tcPr>
            <w:tcW w:w="1915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8B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-2</w:t>
            </w:r>
            <w:r>
              <w:rPr>
                <w:szCs w:val="24"/>
                <w:vertAlign w:val="superscript"/>
                <w:lang w:eastAsia="en-US"/>
              </w:rPr>
              <w:t>63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-2</w:t>
            </w:r>
            <w:r>
              <w:rPr>
                <w:szCs w:val="24"/>
                <w:vertAlign w:val="superscript"/>
                <w:lang w:eastAsia="en-US"/>
              </w:rPr>
              <w:t xml:space="preserve">63 </w:t>
            </w:r>
            <w:r>
              <w:rPr>
                <w:szCs w:val="24"/>
                <w:lang w:eastAsia="en-US"/>
              </w:rPr>
              <w:t>-1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Long</w:t>
            </w:r>
          </w:p>
        </w:tc>
      </w:tr>
    </w:tbl>
    <w:p w:rsidR="001E09B5" w:rsidRDefault="001E09B5" w:rsidP="001E09B5">
      <w:pPr>
        <w:pStyle w:val="Nadpis2"/>
      </w:pPr>
      <w:r>
        <w:t>Reálné primitivní datové typy</w:t>
      </w: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1726"/>
        <w:gridCol w:w="1911"/>
        <w:gridCol w:w="1951"/>
        <w:gridCol w:w="1874"/>
      </w:tblGrid>
      <w:tr w:rsidR="001E09B5" w:rsidTr="001162CE">
        <w:tc>
          <w:tcPr>
            <w:tcW w:w="1894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Primitivní typ </w:t>
            </w:r>
          </w:p>
        </w:tc>
        <w:tc>
          <w:tcPr>
            <w:tcW w:w="1726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Velikost</w:t>
            </w:r>
          </w:p>
        </w:tc>
        <w:tc>
          <w:tcPr>
            <w:tcW w:w="1911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Minimum</w:t>
            </w:r>
          </w:p>
        </w:tc>
        <w:tc>
          <w:tcPr>
            <w:tcW w:w="1951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Maximum</w:t>
            </w:r>
          </w:p>
        </w:tc>
        <w:tc>
          <w:tcPr>
            <w:tcW w:w="1874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Wrapper Class </w:t>
            </w:r>
          </w:p>
        </w:tc>
      </w:tr>
      <w:tr w:rsidR="001E09B5" w:rsidTr="001162CE">
        <w:tc>
          <w:tcPr>
            <w:tcW w:w="1894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Float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72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4B</w:t>
            </w:r>
          </w:p>
        </w:tc>
        <w:tc>
          <w:tcPr>
            <w:tcW w:w="1911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 xml:space="preserve">ANSI IEEE.754 </w:t>
            </w:r>
          </w:p>
        </w:tc>
        <w:tc>
          <w:tcPr>
            <w:tcW w:w="1951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 xml:space="preserve">ANSI IEEE.754 </w:t>
            </w:r>
          </w:p>
        </w:tc>
        <w:tc>
          <w:tcPr>
            <w:tcW w:w="1874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Float</w:t>
            </w:r>
          </w:p>
        </w:tc>
      </w:tr>
      <w:tr w:rsidR="001E09B5" w:rsidTr="001162CE">
        <w:tc>
          <w:tcPr>
            <w:tcW w:w="1894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Style w:val="Nadpis3Char"/>
                <w:lang w:eastAsia="en-US"/>
              </w:rPr>
              <w:t>Double</w:t>
            </w:r>
          </w:p>
        </w:tc>
        <w:tc>
          <w:tcPr>
            <w:tcW w:w="172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rFonts w:cs="LiberationSerif"/>
                <w:szCs w:val="24"/>
                <w:lang w:eastAsia="en-US"/>
              </w:rPr>
              <w:t>8B</w:t>
            </w:r>
          </w:p>
        </w:tc>
        <w:tc>
          <w:tcPr>
            <w:tcW w:w="1911" w:type="dxa"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 xml:space="preserve">ANSI IEEE.754 </w:t>
            </w:r>
          </w:p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</w:p>
        </w:tc>
        <w:tc>
          <w:tcPr>
            <w:tcW w:w="1951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 xml:space="preserve">ANSI IEEE.754 </w:t>
            </w:r>
          </w:p>
        </w:tc>
        <w:tc>
          <w:tcPr>
            <w:tcW w:w="1874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Double</w:t>
            </w:r>
          </w:p>
        </w:tc>
      </w:tr>
    </w:tbl>
    <w:p w:rsidR="001E09B5" w:rsidRDefault="001E09B5" w:rsidP="001E09B5">
      <w:pPr>
        <w:pStyle w:val="Nadpis2"/>
      </w:pPr>
      <w:r>
        <w:t>Pravdivostní primitivní datový typ</w:t>
      </w: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5"/>
        <w:gridCol w:w="1712"/>
        <w:gridCol w:w="1674"/>
        <w:gridCol w:w="1688"/>
        <w:gridCol w:w="1643"/>
      </w:tblGrid>
      <w:tr w:rsidR="001E09B5" w:rsidTr="001E09B5">
        <w:tc>
          <w:tcPr>
            <w:tcW w:w="2355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Primitivní typ </w:t>
            </w:r>
          </w:p>
        </w:tc>
        <w:tc>
          <w:tcPr>
            <w:tcW w:w="1712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Velikost</w:t>
            </w:r>
          </w:p>
        </w:tc>
        <w:tc>
          <w:tcPr>
            <w:tcW w:w="1674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Minimum</w:t>
            </w:r>
          </w:p>
        </w:tc>
        <w:tc>
          <w:tcPr>
            <w:tcW w:w="1688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Maximum</w:t>
            </w:r>
          </w:p>
        </w:tc>
        <w:tc>
          <w:tcPr>
            <w:tcW w:w="1643" w:type="dxa"/>
            <w:hideMark/>
          </w:tcPr>
          <w:p w:rsidR="001E09B5" w:rsidRDefault="001E09B5" w:rsidP="00A3390D">
            <w:pPr>
              <w:pStyle w:val="Tabulka"/>
              <w:ind w:right="-244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Wrapper Class </w:t>
            </w:r>
          </w:p>
        </w:tc>
      </w:tr>
      <w:tr w:rsidR="001E09B5" w:rsidTr="001E09B5">
        <w:tc>
          <w:tcPr>
            <w:tcW w:w="2355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boolean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712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Není přesně definována</w:t>
            </w:r>
          </w:p>
        </w:tc>
        <w:tc>
          <w:tcPr>
            <w:tcW w:w="1674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 xml:space="preserve">false </w:t>
            </w:r>
          </w:p>
        </w:tc>
        <w:tc>
          <w:tcPr>
            <w:tcW w:w="1688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 xml:space="preserve">true </w:t>
            </w:r>
          </w:p>
        </w:tc>
        <w:tc>
          <w:tcPr>
            <w:tcW w:w="1643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Boolean</w:t>
            </w:r>
          </w:p>
        </w:tc>
      </w:tr>
    </w:tbl>
    <w:p w:rsidR="001E09B5" w:rsidRDefault="001E09B5" w:rsidP="001E09B5">
      <w:pPr>
        <w:pStyle w:val="Nadpis2"/>
      </w:pPr>
      <w:r>
        <w:t>Znakový primitivní datový typ</w:t>
      </w:r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15"/>
        <w:gridCol w:w="1916"/>
        <w:gridCol w:w="1916"/>
        <w:gridCol w:w="1916"/>
      </w:tblGrid>
      <w:tr w:rsidR="001E09B5" w:rsidTr="001E09B5">
        <w:tc>
          <w:tcPr>
            <w:tcW w:w="2943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Primitivní typ </w:t>
            </w:r>
          </w:p>
        </w:tc>
        <w:tc>
          <w:tcPr>
            <w:tcW w:w="1915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Velikost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Minimum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Maximum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Wrapper Class</w:t>
            </w:r>
          </w:p>
        </w:tc>
      </w:tr>
      <w:tr w:rsidR="001E09B5" w:rsidTr="001E09B5">
        <w:tc>
          <w:tcPr>
            <w:tcW w:w="2943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rStyle w:val="Nadpis3Char"/>
                <w:lang w:eastAsia="en-US"/>
              </w:rPr>
              <w:t>Char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915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2B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 xml:space="preserve">Unicode 0 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lang w:eastAsia="en-US"/>
              </w:rPr>
            </w:pPr>
            <w:r>
              <w:rPr>
                <w:lang w:eastAsia="en-US"/>
              </w:rPr>
              <w:t>Unicode 2</w:t>
            </w:r>
            <w:r>
              <w:rPr>
                <w:vertAlign w:val="superscript"/>
                <w:lang w:eastAsia="en-US"/>
              </w:rPr>
              <w:t>16</w:t>
            </w:r>
            <w:r>
              <w:rPr>
                <w:lang w:eastAsia="en-US"/>
              </w:rPr>
              <w:t xml:space="preserve">-1 </w:t>
            </w:r>
          </w:p>
        </w:tc>
        <w:tc>
          <w:tcPr>
            <w:tcW w:w="1916" w:type="dxa"/>
            <w:hideMark/>
          </w:tcPr>
          <w:p w:rsidR="001E09B5" w:rsidRDefault="001E09B5">
            <w:pPr>
              <w:pStyle w:val="Tabulka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Character</w:t>
            </w:r>
          </w:p>
        </w:tc>
      </w:tr>
    </w:tbl>
    <w:p w:rsidR="001E09B5" w:rsidRDefault="001E09B5" w:rsidP="001E09B5">
      <w:pPr>
        <w:pStyle w:val="Nadpis4"/>
        <w:ind w:left="708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char</w:t>
      </w:r>
      <w:r>
        <w:rPr>
          <w:lang w:val="cs-CZ"/>
        </w:rPr>
        <w:t xml:space="preserve"> znak = </w:t>
      </w:r>
      <w:r>
        <w:rPr>
          <w:color w:val="2E74B5" w:themeColor="accent1" w:themeShade="BF"/>
          <w:lang w:val="cs-CZ"/>
        </w:rPr>
        <w:t>65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  <w:r>
        <w:rPr>
          <w:color w:val="538135" w:themeColor="accent6" w:themeShade="BF"/>
          <w:lang w:val="cs-CZ"/>
        </w:rPr>
        <w:t>// ASCCI hodnota písmene A</w:t>
      </w:r>
      <w:r>
        <w:rPr>
          <w:lang w:val="cs-CZ"/>
        </w:rPr>
        <w:t xml:space="preserve"> </w:t>
      </w:r>
    </w:p>
    <w:p w:rsidR="001E09B5" w:rsidRDefault="001E09B5" w:rsidP="001E09B5">
      <w:pPr>
        <w:pStyle w:val="Nadpis4"/>
        <w:ind w:left="708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char</w:t>
      </w:r>
      <w:r>
        <w:rPr>
          <w:lang w:val="cs-CZ"/>
        </w:rPr>
        <w:t xml:space="preserve"> znak = </w:t>
      </w:r>
      <w:r>
        <w:rPr>
          <w:color w:val="70AD47" w:themeColor="accent6"/>
          <w:lang w:val="cs-CZ"/>
        </w:rPr>
        <w:t>`A`</w:t>
      </w:r>
      <w:r>
        <w:rPr>
          <w:color w:val="C45911" w:themeColor="accent2" w:themeShade="BF"/>
          <w:lang w:val="cs-CZ"/>
        </w:rPr>
        <w:t>;</w:t>
      </w:r>
      <w:r>
        <w:rPr>
          <w:lang w:val="cs-CZ"/>
        </w:rPr>
        <w:t xml:space="preserve"> </w:t>
      </w:r>
    </w:p>
    <w:p w:rsidR="001E09B5" w:rsidRDefault="001E09B5" w:rsidP="001E09B5">
      <w:pPr>
        <w:pStyle w:val="Nadpis4"/>
        <w:ind w:left="708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char</w:t>
      </w:r>
      <w:r>
        <w:rPr>
          <w:lang w:val="cs-CZ"/>
        </w:rPr>
        <w:t xml:space="preserve"> znak = </w:t>
      </w:r>
      <w:r>
        <w:rPr>
          <w:color w:val="70AD47" w:themeColor="accent6"/>
          <w:lang w:val="cs-CZ"/>
        </w:rPr>
        <w:t>`u00ff`</w:t>
      </w:r>
      <w:r>
        <w:rPr>
          <w:color w:val="C45911" w:themeColor="accent2" w:themeShade="BF"/>
          <w:lang w:val="cs-CZ"/>
        </w:rPr>
        <w:t>;</w:t>
      </w:r>
    </w:p>
    <w:p w:rsidR="001E09B5" w:rsidRDefault="001E09B5" w:rsidP="001E09B5">
      <w:pPr>
        <w:pStyle w:val="Nadpis2"/>
        <w:rPr>
          <w:lang w:bidi="en-US"/>
        </w:rPr>
      </w:pPr>
      <w:r>
        <w:rPr>
          <w:lang w:bidi="en-US"/>
        </w:rPr>
        <w:t>Datový typ void</w:t>
      </w:r>
    </w:p>
    <w:p w:rsidR="001E09B5" w:rsidRDefault="001E09B5" w:rsidP="001E09B5">
      <w:pPr>
        <w:rPr>
          <w:lang w:bidi="en-US"/>
        </w:rPr>
      </w:pPr>
      <w:r>
        <w:rPr>
          <w:lang w:bidi="en-US"/>
        </w:rPr>
        <w:t>Nelze vytvořit proměnnou datového typu void. Datový typ void pouze udává, že metoda nemá návratovou hodnotu.</w:t>
      </w:r>
    </w:p>
    <w:p w:rsidR="001E09B5" w:rsidRDefault="001E09B5" w:rsidP="001E09B5">
      <w:pPr>
        <w:pStyle w:val="Nadpis2"/>
        <w:rPr>
          <w:lang w:bidi="en-US"/>
        </w:rPr>
      </w:pPr>
      <w:r>
        <w:rPr>
          <w:lang w:bidi="en-US"/>
        </w:rPr>
        <w:t>Wrapper Class</w:t>
      </w:r>
    </w:p>
    <w:p w:rsidR="0042355D" w:rsidRDefault="001E09B5" w:rsidP="00EE4630">
      <w:pPr>
        <w:rPr>
          <w:lang w:bidi="en-US"/>
        </w:rPr>
      </w:pPr>
      <w:r>
        <w:rPr>
          <w:lang w:bidi="en-US"/>
        </w:rPr>
        <w:t>Obalová třída, každý z 8 primitivních datových typů má „Wrapper Class“, která určuje, co lze provádět s daným datovým typem.</w:t>
      </w:r>
    </w:p>
    <w:p w:rsidR="0042355D" w:rsidRDefault="0042355D" w:rsidP="0042355D">
      <w:pPr>
        <w:pStyle w:val="Nadpis2"/>
      </w:pPr>
      <w:r>
        <w:lastRenderedPageBreak/>
        <w:t xml:space="preserve">Objektové datové typy </w:t>
      </w:r>
    </w:p>
    <w:p w:rsidR="0042355D" w:rsidRDefault="0042355D" w:rsidP="0042355D">
      <w:pPr>
        <w:rPr>
          <w:rFonts w:cstheme="majorBidi"/>
          <w:szCs w:val="26"/>
        </w:rPr>
      </w:pPr>
      <w:r>
        <w:t xml:space="preserve">„Referenční datové typy“. Jsou datové typy objektu. Hodnota referenční proměnné (proměnná s objektem) je odkaz na místo v paměti, kde je daný objekt (pole) uložen. Deklarace je téměř totožná s vytvořením normální proměnné, jen místo názvu se uvádí název třídy objektu. </w:t>
      </w:r>
    </w:p>
    <w:p w:rsidR="0042355D" w:rsidRDefault="0042355D" w:rsidP="0042355D">
      <w:pPr>
        <w:pStyle w:val="Nadpis4"/>
        <w:ind w:firstLine="708"/>
        <w:rPr>
          <w:lang w:val="cs-CZ"/>
        </w:rPr>
      </w:pPr>
      <w:r>
        <w:rPr>
          <w:lang w:val="cs-CZ"/>
        </w:rPr>
        <w:t xml:space="preserve">String retezec = </w:t>
      </w:r>
      <w:r>
        <w:rPr>
          <w:color w:val="538135" w:themeColor="accent6" w:themeShade="BF"/>
          <w:lang w:val="cs-CZ"/>
        </w:rPr>
        <w:t>“Cosi”</w:t>
      </w:r>
      <w:r>
        <w:rPr>
          <w:color w:val="C45911" w:themeColor="accent2" w:themeShade="BF"/>
          <w:lang w:val="cs-CZ"/>
        </w:rPr>
        <w:t>;</w:t>
      </w:r>
    </w:p>
    <w:p w:rsidR="0042355D" w:rsidRDefault="0042355D" w:rsidP="0042355D">
      <w:pPr>
        <w:rPr>
          <w:lang w:bidi="en-US"/>
        </w:rPr>
      </w:pPr>
    </w:p>
    <w:p w:rsidR="001E09B5" w:rsidRDefault="001E09B5" w:rsidP="001E09B5">
      <w:pPr>
        <w:pStyle w:val="Nadpis4"/>
      </w:pPr>
      <w:r>
        <w:rPr>
          <w:color w:val="C45911" w:themeColor="accent2" w:themeShade="BF"/>
          <w:lang w:val="cs-CZ"/>
        </w:rPr>
        <w:t>public</w:t>
      </w:r>
      <w:r>
        <w:t xml:space="preserve"> </w:t>
      </w:r>
      <w:r>
        <w:rPr>
          <w:color w:val="C45911" w:themeColor="accent2" w:themeShade="BF"/>
          <w:lang w:val="cs-CZ"/>
        </w:rPr>
        <w:t>class</w:t>
      </w:r>
      <w:r>
        <w:t xml:space="preserve"> cosi {</w:t>
      </w:r>
    </w:p>
    <w:p w:rsidR="001E09B5" w:rsidRDefault="001E09B5" w:rsidP="001E09B5">
      <w:pPr>
        <w:pStyle w:val="Nadpis4"/>
      </w:pPr>
      <w:r>
        <w:t xml:space="preserve">    </w:t>
      </w:r>
      <w:r>
        <w:rPr>
          <w:color w:val="C45911" w:themeColor="accent2" w:themeShade="BF"/>
          <w:lang w:val="cs-CZ"/>
        </w:rPr>
        <w:t>public</w:t>
      </w:r>
      <w:r>
        <w:t xml:space="preserve"> </w:t>
      </w:r>
      <w:r>
        <w:rPr>
          <w:rFonts w:eastAsia="Calibri"/>
          <w:color w:val="C45911" w:themeColor="accent2" w:themeShade="BF"/>
        </w:rPr>
        <w:t>static</w:t>
      </w:r>
      <w:r>
        <w:t xml:space="preserve"> </w:t>
      </w:r>
      <w:r>
        <w:rPr>
          <w:rFonts w:eastAsia="Calibri"/>
          <w:color w:val="C45911" w:themeColor="accent2" w:themeShade="BF"/>
        </w:rPr>
        <w:t>void</w:t>
      </w:r>
      <w:r>
        <w:t xml:space="preserve"> </w:t>
      </w:r>
      <w:r>
        <w:rPr>
          <w:color w:val="BF8F00" w:themeColor="accent4" w:themeShade="BF"/>
          <w:szCs w:val="24"/>
          <w:lang w:val="cs-CZ"/>
        </w:rPr>
        <w:t>main</w:t>
      </w:r>
      <w:r>
        <w:t>(String[] args) {</w:t>
      </w:r>
    </w:p>
    <w:p w:rsidR="001E09B5" w:rsidRDefault="001E09B5" w:rsidP="001E09B5">
      <w:pPr>
        <w:pStyle w:val="Nadpis4"/>
      </w:pPr>
      <w:r>
        <w:t xml:space="preserve">        </w:t>
      </w:r>
      <w:r>
        <w:rPr>
          <w:color w:val="C45911" w:themeColor="accent2" w:themeShade="BF"/>
          <w:lang w:val="cs-CZ"/>
        </w:rPr>
        <w:t>float</w:t>
      </w:r>
      <w:r>
        <w:t xml:space="preserve"> a = </w:t>
      </w:r>
      <w:r>
        <w:rPr>
          <w:color w:val="2E74B5" w:themeColor="accent1" w:themeShade="BF"/>
        </w:rPr>
        <w:t>5</w:t>
      </w:r>
      <w:r>
        <w:rPr>
          <w:color w:val="C45911" w:themeColor="accent2" w:themeShade="BF"/>
          <w:lang w:val="cs-CZ"/>
        </w:rPr>
        <w:t>;</w:t>
      </w:r>
    </w:p>
    <w:p w:rsidR="001E09B5" w:rsidRDefault="001E09B5" w:rsidP="001E09B5">
      <w:pPr>
        <w:pStyle w:val="Nadpis4"/>
      </w:pPr>
      <w:r>
        <w:t xml:space="preserve">        </w:t>
      </w:r>
      <w:r>
        <w:rPr>
          <w:color w:val="C45911" w:themeColor="accent2" w:themeShade="BF"/>
          <w:lang w:val="cs-CZ"/>
        </w:rPr>
        <w:t>float</w:t>
      </w:r>
      <w:r>
        <w:t xml:space="preserve"> b = </w:t>
      </w:r>
      <w:r>
        <w:rPr>
          <w:color w:val="2E74B5" w:themeColor="accent1" w:themeShade="BF"/>
        </w:rPr>
        <w:t>0</w:t>
      </w:r>
      <w:r>
        <w:rPr>
          <w:color w:val="C45911" w:themeColor="accent2" w:themeShade="BF"/>
          <w:lang w:val="cs-CZ"/>
        </w:rPr>
        <w:t>;</w:t>
      </w:r>
    </w:p>
    <w:p w:rsidR="001E09B5" w:rsidRDefault="001E09B5" w:rsidP="001E09B5">
      <w:pPr>
        <w:pStyle w:val="Nadpis4"/>
      </w:pPr>
      <w:r>
        <w:t xml:space="preserve">        System.</w:t>
      </w:r>
      <w:r>
        <w:rPr>
          <w:i/>
          <w:color w:val="7030A0"/>
          <w:szCs w:val="24"/>
          <w:lang w:val="cs-CZ"/>
        </w:rPr>
        <w:t>out</w:t>
      </w:r>
      <w:r>
        <w:t>.println(a / b)</w:t>
      </w:r>
      <w:r>
        <w:rPr>
          <w:color w:val="C45911" w:themeColor="accent2" w:themeShade="BF"/>
          <w:lang w:val="cs-CZ"/>
        </w:rPr>
        <w:t>;</w:t>
      </w:r>
      <w:r>
        <w:t xml:space="preserve"> </w:t>
      </w:r>
      <w:r>
        <w:rPr>
          <w:color w:val="538135" w:themeColor="accent6" w:themeShade="BF"/>
        </w:rPr>
        <w:t>//Infinity</w:t>
      </w:r>
    </w:p>
    <w:p w:rsidR="001E09B5" w:rsidRDefault="001E09B5" w:rsidP="001E09B5">
      <w:pPr>
        <w:pStyle w:val="Nadpis4"/>
      </w:pPr>
      <w:r>
        <w:t xml:space="preserve">        </w:t>
      </w:r>
      <w:r>
        <w:rPr>
          <w:color w:val="C45911" w:themeColor="accent2" w:themeShade="BF"/>
          <w:lang w:val="cs-CZ"/>
        </w:rPr>
        <w:t>float</w:t>
      </w:r>
      <w:r>
        <w:t xml:space="preserve"> aa = </w:t>
      </w:r>
      <w:r>
        <w:rPr>
          <w:color w:val="2E74B5" w:themeColor="accent1" w:themeShade="BF"/>
        </w:rPr>
        <w:t>0</w:t>
      </w:r>
      <w:r>
        <w:rPr>
          <w:color w:val="C45911" w:themeColor="accent2" w:themeShade="BF"/>
          <w:lang w:val="cs-CZ"/>
        </w:rPr>
        <w:t>;</w:t>
      </w:r>
    </w:p>
    <w:p w:rsidR="001E09B5" w:rsidRDefault="001E09B5" w:rsidP="001E09B5">
      <w:pPr>
        <w:pStyle w:val="Nadpis4"/>
      </w:pPr>
      <w:r>
        <w:t xml:space="preserve">        </w:t>
      </w:r>
      <w:r>
        <w:rPr>
          <w:color w:val="C45911" w:themeColor="accent2" w:themeShade="BF"/>
          <w:lang w:val="cs-CZ"/>
        </w:rPr>
        <w:t>float</w:t>
      </w:r>
      <w:r>
        <w:t xml:space="preserve"> bb = </w:t>
      </w:r>
      <w:r>
        <w:rPr>
          <w:color w:val="2E74B5" w:themeColor="accent1" w:themeShade="BF"/>
        </w:rPr>
        <w:t>0</w:t>
      </w:r>
      <w:r>
        <w:rPr>
          <w:color w:val="C45911" w:themeColor="accent2" w:themeShade="BF"/>
          <w:lang w:val="cs-CZ"/>
        </w:rPr>
        <w:t>;</w:t>
      </w:r>
    </w:p>
    <w:p w:rsidR="001E09B5" w:rsidRDefault="001E09B5" w:rsidP="001E09B5">
      <w:pPr>
        <w:pStyle w:val="Nadpis4"/>
      </w:pPr>
      <w:r>
        <w:t xml:space="preserve">        System.</w:t>
      </w:r>
      <w:r>
        <w:rPr>
          <w:i/>
          <w:color w:val="7030A0"/>
          <w:szCs w:val="24"/>
          <w:lang w:val="cs-CZ"/>
        </w:rPr>
        <w:t>out</w:t>
      </w:r>
      <w:r>
        <w:t>.println(aa / bb)</w:t>
      </w:r>
      <w:r>
        <w:rPr>
          <w:color w:val="C45911" w:themeColor="accent2" w:themeShade="BF"/>
          <w:lang w:val="cs-CZ"/>
        </w:rPr>
        <w:t>;</w:t>
      </w:r>
      <w:r>
        <w:t xml:space="preserve"> </w:t>
      </w:r>
      <w:r>
        <w:rPr>
          <w:color w:val="538135" w:themeColor="accent6" w:themeShade="BF"/>
        </w:rPr>
        <w:t>//Not a Number (NaN)</w:t>
      </w:r>
    </w:p>
    <w:p w:rsidR="001E09B5" w:rsidRDefault="001E09B5" w:rsidP="001E09B5">
      <w:pPr>
        <w:pStyle w:val="Nadpis4"/>
      </w:pPr>
      <w:r>
        <w:t xml:space="preserve">    }</w:t>
      </w:r>
    </w:p>
    <w:p w:rsidR="001E09B5" w:rsidRDefault="001E09B5" w:rsidP="00EE0905">
      <w:pPr>
        <w:pStyle w:val="Nadpis4"/>
        <w:rPr>
          <w:lang w:val="cs-CZ"/>
        </w:rPr>
      </w:pPr>
      <w:r>
        <w:t>}</w:t>
      </w:r>
    </w:p>
    <w:p w:rsidR="001E09B5" w:rsidRDefault="001E09B5" w:rsidP="001E09B5"/>
    <w:p w:rsidR="001E09B5" w:rsidRDefault="001E09B5" w:rsidP="001E09B5"/>
    <w:p w:rsidR="00690BF0" w:rsidRPr="001E09B5" w:rsidRDefault="00690BF0" w:rsidP="001E09B5"/>
    <w:sectPr w:rsidR="00690BF0" w:rsidRPr="001E09B5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9B5" w:rsidRDefault="001E09B5" w:rsidP="006537B9">
      <w:pPr>
        <w:spacing w:line="240" w:lineRule="auto"/>
      </w:pPr>
      <w:r>
        <w:separator/>
      </w:r>
    </w:p>
  </w:endnote>
  <w:endnote w:type="continuationSeparator" w:id="0">
    <w:p w:rsidR="001E09B5" w:rsidRDefault="001E09B5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Serif">
    <w:altName w:val="LiberationSerif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B022EB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B022EB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B69FE">
          <w:rPr>
            <w:color w:val="7030A0"/>
          </w:rPr>
          <w:t>11. Standardní datové typy jazyka JAVA (rozdělení, rozsahy)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9B5" w:rsidRDefault="001E09B5" w:rsidP="006537B9">
      <w:pPr>
        <w:spacing w:line="240" w:lineRule="auto"/>
      </w:pPr>
      <w:r>
        <w:separator/>
      </w:r>
    </w:p>
  </w:footnote>
  <w:footnote w:type="continuationSeparator" w:id="0">
    <w:p w:rsidR="001E09B5" w:rsidRDefault="001E09B5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B022EB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B5"/>
    <w:rsid w:val="000256FE"/>
    <w:rsid w:val="00076DB0"/>
    <w:rsid w:val="001162CE"/>
    <w:rsid w:val="001B3EB7"/>
    <w:rsid w:val="001D6C59"/>
    <w:rsid w:val="001E09B5"/>
    <w:rsid w:val="002270E8"/>
    <w:rsid w:val="00241539"/>
    <w:rsid w:val="002757F8"/>
    <w:rsid w:val="002F4373"/>
    <w:rsid w:val="00374DC2"/>
    <w:rsid w:val="003D2DC4"/>
    <w:rsid w:val="003E112E"/>
    <w:rsid w:val="003E17D4"/>
    <w:rsid w:val="0042355D"/>
    <w:rsid w:val="005A37FA"/>
    <w:rsid w:val="005B0DC0"/>
    <w:rsid w:val="005B69FE"/>
    <w:rsid w:val="005F0531"/>
    <w:rsid w:val="0060553A"/>
    <w:rsid w:val="00621550"/>
    <w:rsid w:val="006537B9"/>
    <w:rsid w:val="00690BF0"/>
    <w:rsid w:val="00693279"/>
    <w:rsid w:val="00704607"/>
    <w:rsid w:val="0071521E"/>
    <w:rsid w:val="00753757"/>
    <w:rsid w:val="00774D35"/>
    <w:rsid w:val="007B41EC"/>
    <w:rsid w:val="007B5987"/>
    <w:rsid w:val="007C2615"/>
    <w:rsid w:val="007C7B57"/>
    <w:rsid w:val="0081654E"/>
    <w:rsid w:val="00843775"/>
    <w:rsid w:val="008717B3"/>
    <w:rsid w:val="00874E0F"/>
    <w:rsid w:val="00877544"/>
    <w:rsid w:val="00890805"/>
    <w:rsid w:val="008B6395"/>
    <w:rsid w:val="008F083A"/>
    <w:rsid w:val="008F23C1"/>
    <w:rsid w:val="00933488"/>
    <w:rsid w:val="00945582"/>
    <w:rsid w:val="00985BDB"/>
    <w:rsid w:val="0099771D"/>
    <w:rsid w:val="00A108CB"/>
    <w:rsid w:val="00A27F6E"/>
    <w:rsid w:val="00A3390D"/>
    <w:rsid w:val="00A66F70"/>
    <w:rsid w:val="00AB318D"/>
    <w:rsid w:val="00AC6939"/>
    <w:rsid w:val="00AC733C"/>
    <w:rsid w:val="00AE0E65"/>
    <w:rsid w:val="00B022EB"/>
    <w:rsid w:val="00B42DB2"/>
    <w:rsid w:val="00B85A2C"/>
    <w:rsid w:val="00C2196C"/>
    <w:rsid w:val="00C40978"/>
    <w:rsid w:val="00C5306E"/>
    <w:rsid w:val="00C66B0B"/>
    <w:rsid w:val="00C808A0"/>
    <w:rsid w:val="00CD2D1A"/>
    <w:rsid w:val="00DA7CAF"/>
    <w:rsid w:val="00DB2A4E"/>
    <w:rsid w:val="00EE0905"/>
    <w:rsid w:val="00EE4630"/>
    <w:rsid w:val="00F40896"/>
    <w:rsid w:val="00F7146B"/>
    <w:rsid w:val="00F944C2"/>
    <w:rsid w:val="00FA6880"/>
    <w:rsid w:val="00FC5867"/>
    <w:rsid w:val="00F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0B59"/>
  <w15:chartTrackingRefBased/>
  <w15:docId w15:val="{E3488C4D-3A57-462F-9C07-121233BA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E09B5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table" w:styleId="Mkatabulky">
    <w:name w:val="Table Grid"/>
    <w:basedOn w:val="Normlntabulka"/>
    <w:uiPriority w:val="59"/>
    <w:rsid w:val="001E09B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5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8DE34-BCD6-40BF-A6CF-4AD74A670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8</TotalTime>
  <Pages>3</Pages>
  <Words>533</Words>
  <Characters>3152</Characters>
  <Application>Microsoft Office Word</Application>
  <DocSecurity>0</DocSecurity>
  <Lines>98</Lines>
  <Paragraphs>81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13</vt:i4>
      </vt:variant>
    </vt:vector>
  </HeadingPairs>
  <TitlesOfParts>
    <vt:vector size="14" baseType="lpstr">
      <vt:lpstr>11. Standardní datové typy jazyka JAVA (rozdělení, rozsahy)</vt:lpstr>
      <vt:lpstr>11. Standardní datové typy jazyka JAVA (rozdělení, rozsahy)</vt:lpstr>
      <vt:lpstr>    Datový Typ</vt:lpstr>
      <vt:lpstr>    Proměnné </vt:lpstr>
      <vt:lpstr>    Konstanty </vt:lpstr>
      <vt:lpstr>    Pojmenování </vt:lpstr>
      <vt:lpstr>    Primitivní datové typy </vt:lpstr>
      <vt:lpstr>    Celočíselné primitivní datové typy</vt:lpstr>
      <vt:lpstr>    Reálné primitivní datové typy</vt:lpstr>
      <vt:lpstr>    Pravdivostní primitivní datový typ</vt:lpstr>
      <vt:lpstr>    Znakový primitivní datový typ</vt:lpstr>
      <vt:lpstr>    Datový typ void</vt:lpstr>
      <vt:lpstr>    Wrapper Class</vt:lpstr>
      <vt:lpstr>    Objektové datové typy </vt:lpstr>
    </vt:vector>
  </TitlesOfParts>
  <Manager>Karel Johanovský</Manager>
  <Company>BLAKKWOOD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Standardní datové typy jazyka JAVA (rozdělení, rozsahy)</dc:title>
  <dc:subject>PRM - Programovací Metody</dc:subject>
  <dc:creator>Ash258</dc:creator>
  <cp:keywords>PRM;11</cp:keywords>
  <dc:description/>
  <cp:lastModifiedBy>Ash258</cp:lastModifiedBy>
  <cp:revision>28</cp:revision>
  <dcterms:created xsi:type="dcterms:W3CDTF">2016-04-15T00:55:00Z</dcterms:created>
  <dcterms:modified xsi:type="dcterms:W3CDTF">2016-05-09T15:40:00Z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