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OntoRisk BI: An Ontology-Driven Semantic Data Warehouse for Proactive Business Risk Intelligence</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571"/>
        <w:gridCol w:w="2571"/>
        <w:gridCol w:w="2571"/>
        <w:gridCol w:w="2571"/>
      </w:tblGrid>
      <w:tr>
        <w:tc>
          <w:tcPr>
            <w:tcW w:type="dxa" w:w="2571"/>
            <w:tcBorders>
              <w:top w:val="none" w:color="FFFFFF" w:sz="0"/>
              <w:left w:val="none" w:color="FFFFFF" w:sz="0"/>
              <w:bottom w:val="none" w:color="FFFFFF" w:sz="0"/>
              <w:right w:val="none" w:color="FFFFFF" w:sz="0"/>
            </w:tcBorders>
            <w:tcMar>
              <w:left w:type="dxa" w:w="80"/>
              <w:right w:type="dxa" w:w="80"/>
            </w:tcMar>
          </w:tcPr>
          <w:p>
            <w:pPr>
              <w:jc w:val="center"/>
            </w:pPr>
            <w:r>
              <w:rPr>
                <w:rFonts w:ascii="Times New Roman" w:cs="Times New Roman" w:eastAsia="Times New Roman" w:hAnsi="Times New Roman"/>
                <w:sz w:val="22"/>
                <w:szCs w:val="22"/>
              </w:rPr>
              <w:t xml:space="preserve">Aishwarya Patil</w:t>
            </w:r>
          </w:p>
          <w:p>
            <w:pPr>
              <w:jc w:val="center"/>
            </w:pPr>
            <w:r>
              <w:rPr>
                <w:rFonts w:ascii="Times New Roman" w:cs="Times New Roman" w:eastAsia="Times New Roman" w:hAnsi="Times New Roman"/>
                <w:i/>
                <w:iCs/>
                <w:sz w:val="20"/>
                <w:szCs w:val="20"/>
              </w:rPr>
              <w:t xml:space="preserve">Reg. No. 235890068</w:t>
            </w:r>
          </w:p>
        </w:tc>
        <w:tc>
          <w:tcPr>
            <w:tcW w:type="dxa" w:w="2571"/>
            <w:tcBorders>
              <w:top w:val="none" w:color="FFFFFF" w:sz="0"/>
              <w:left w:val="none" w:color="FFFFFF" w:sz="0"/>
              <w:bottom w:val="none" w:color="FFFFFF" w:sz="0"/>
              <w:right w:val="none" w:color="FFFFFF" w:sz="0"/>
            </w:tcBorders>
            <w:tcMar>
              <w:left w:type="dxa" w:w="80"/>
              <w:right w:type="dxa" w:w="80"/>
            </w:tcMar>
          </w:tcPr>
          <w:p>
            <w:pPr>
              <w:jc w:val="center"/>
            </w:pPr>
            <w:r>
              <w:rPr>
                <w:rFonts w:ascii="Times New Roman" w:cs="Times New Roman" w:eastAsia="Times New Roman" w:hAnsi="Times New Roman"/>
                <w:sz w:val="22"/>
                <w:szCs w:val="22"/>
              </w:rPr>
              <w:t xml:space="preserve">Thiriveedhi Venkata Subba Sai Teja</w:t>
            </w:r>
          </w:p>
          <w:p>
            <w:pPr>
              <w:jc w:val="center"/>
            </w:pPr>
            <w:r>
              <w:rPr>
                <w:rFonts w:ascii="Times New Roman" w:cs="Times New Roman" w:eastAsia="Times New Roman" w:hAnsi="Times New Roman"/>
                <w:i/>
                <w:iCs/>
                <w:sz w:val="20"/>
                <w:szCs w:val="20"/>
              </w:rPr>
              <w:t xml:space="preserve">Reg. No. 235890021</w:t>
            </w:r>
          </w:p>
        </w:tc>
        <w:tc>
          <w:tcPr>
            <w:tcW w:type="dxa" w:w="2571"/>
            <w:tcBorders>
              <w:top w:val="none" w:color="FFFFFF" w:sz="0"/>
              <w:left w:val="none" w:color="FFFFFF" w:sz="0"/>
              <w:bottom w:val="none" w:color="FFFFFF" w:sz="0"/>
              <w:right w:val="none" w:color="FFFFFF" w:sz="0"/>
            </w:tcBorders>
            <w:tcMar>
              <w:left w:type="dxa" w:w="80"/>
              <w:right w:type="dxa" w:w="80"/>
            </w:tcMar>
          </w:tcPr>
          <w:p>
            <w:pPr>
              <w:jc w:val="center"/>
            </w:pPr>
            <w:r>
              <w:rPr>
                <w:rFonts w:ascii="Times New Roman" w:cs="Times New Roman" w:eastAsia="Times New Roman" w:hAnsi="Times New Roman"/>
                <w:sz w:val="22"/>
                <w:szCs w:val="22"/>
              </w:rPr>
              <w:t xml:space="preserve">Dhruv Naveen</w:t>
            </w:r>
          </w:p>
          <w:p>
            <w:pPr>
              <w:jc w:val="center"/>
            </w:pPr>
            <w:r>
              <w:rPr>
                <w:rFonts w:ascii="Times New Roman" w:cs="Times New Roman" w:eastAsia="Times New Roman" w:hAnsi="Times New Roman"/>
                <w:i/>
                <w:iCs/>
                <w:sz w:val="20"/>
                <w:szCs w:val="20"/>
              </w:rPr>
              <w:t xml:space="preserve">Reg. No. 235890154</w:t>
            </w:r>
          </w:p>
        </w:tc>
        <w:tc>
          <w:tcPr>
            <w:tcW w:type="dxa" w:w="2571"/>
            <w:tcBorders>
              <w:top w:val="none" w:color="FFFFFF" w:sz="0"/>
              <w:left w:val="none" w:color="FFFFFF" w:sz="0"/>
              <w:bottom w:val="none" w:color="FFFFFF" w:sz="0"/>
              <w:right w:val="none" w:color="FFFFFF" w:sz="0"/>
            </w:tcBorders>
            <w:tcMar>
              <w:left w:type="dxa" w:w="80"/>
              <w:right w:type="dxa" w:w="80"/>
            </w:tcMar>
          </w:tcPr>
          <w:p>
            <w:pPr>
              <w:jc w:val="center"/>
            </w:pPr>
            <w:r>
              <w:rPr>
                <w:rFonts w:ascii="Times New Roman" w:cs="Times New Roman" w:eastAsia="Times New Roman" w:hAnsi="Times New Roman"/>
                <w:sz w:val="22"/>
                <w:szCs w:val="22"/>
              </w:rPr>
              <w:t xml:space="preserve">Shaswat Das</w:t>
            </w:r>
          </w:p>
          <w:p>
            <w:pPr>
              <w:jc w:val="center"/>
            </w:pPr>
            <w:r>
              <w:rPr>
                <w:rFonts w:ascii="Times New Roman" w:cs="Times New Roman" w:eastAsia="Times New Roman" w:hAnsi="Times New Roman"/>
                <w:i/>
                <w:iCs/>
                <w:sz w:val="20"/>
                <w:szCs w:val="20"/>
              </w:rPr>
              <w:t xml:space="preserve">Reg. No. 235890222</w:t>
            </w:r>
          </w:p>
        </w:tc>
      </w:tr>
    </w:tbl>
    <w:p>
      <w:pPr>
        <w:spacing w:after="280"/>
        <w:sectPr>
          <w:pgSz w:w="11906" w:h="16838" w:orient="portrait"/>
          <w:pgMar w:top="1077" w:right="811" w:bottom="1440" w:left="811" w:header="708" w:footer="708" w:gutter="0"/>
          <w:pgNumType/>
          <w:cols w:num="1"/>
          <w:docGrid w:linePitch="360"/>
        </w:sectPr>
      </w:pPr>
    </w:p>
    <w:p>
      <w:pPr>
        <w:spacing w:after="10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Businesses learn about operational risks such as monsoon flooding, port congestion, export bans, supplier failures and product recalls from news text, which conventional business-intelligence (BI) tools cannot query. This paper presents OntoRisk BI, an open, reproducible pipeline that converts business news into structured, queryable risk intelligence. Organisations, locations, dates and risk-vocabulary terms are recognised with spaCy; a transparent paragraph-level co-occurrence rule turns them into risk events that are stored twice: as RDF triples linked to a compact six-class OWL ontology, and as rows of a DuckDB star schema joined to the triples through a semantic bridge table. FP-Growth association-rule mining and k-Means clustering run over the warehouse, and a Streamlit dashboard exposes KPIs, OLAP roll-up and drill-down, the mined rules, the cluster map and a SPARQL console. On a 240-article Indian-context corpus the pipeline extracts 387 risk events and 6,068 triples, passes all six SPARQL integrity checks with zero orphan warehouse keys, and achieves extraction precision of 72.4%, recall of 92.6% and F1 of 81.2% against ground truth. It mines 27 association rules (strongest lift 3.96) and five interpretable clusters, and runs end to end in about 29 s.</w:t>
      </w:r>
    </w:p>
    <w:p>
      <w:pPr>
        <w:spacing w:after="12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Business intelligence, ontology, semantic web, RDF, SPARQL, data warehouse, star schema, OLAP, named entity recognition, association rules, FP-Growth, k-Means clustering, supply chain risk.</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Supply chains and the firms that depend on them are exposed to a wide range of disruptions: extreme weather, transport bottlenecks, regulatory change, supplier distress and reputational incidents [1], [2]. In the Indian context these risks have a strong regional and seasonal signature: the south-west monsoon (June–September) floods warehouses and roads, cyclones affect the eastern coast in October and November, container ports such as Nhava Sheva, Mundra and Chennai suffer congestion, and policy decisions taken in New Delhi (GST revisions, import duties, export bans) ripple across sectors.</w:t>
      </w:r>
    </w:p>
    <w:p>
      <w:pPr>
        <w:spacing w:after="0" w:line="230"/>
        <w:ind w:firstLine="202"/>
        <w:jc w:val="both"/>
      </w:pPr>
      <w:r>
        <w:rPr>
          <w:rFonts w:ascii="Times New Roman" w:cs="Times New Roman" w:eastAsia="Times New Roman" w:hAnsi="Times New Roman"/>
          <w:sz w:val="20"/>
          <w:szCs w:val="20"/>
        </w:rPr>
        <w:t xml:space="preserve">Most early signals of such risks appear first in news text. Text, however, is unstructured: a BI analyst cannot slice it by region and quarter, join it to other facts, or mine it for patterns. Text-mining outputs usually live apart from the warehouse, while semantic-web technology [3], which gives data explicit meaning, is rarely combined with dimensional modelling and OLAP practice [4]. Small and medium enterprises in particular lack an affordable way to bridge the two.</w:t>
      </w:r>
    </w:p>
    <w:p>
      <w:pPr>
        <w:spacing w:after="0" w:line="230"/>
        <w:ind w:firstLine="202"/>
        <w:jc w:val="both"/>
      </w:pPr>
      <w:r>
        <w:rPr>
          <w:rFonts w:ascii="Times New Roman" w:cs="Times New Roman" w:eastAsia="Times New Roman" w:hAnsi="Times New Roman"/>
          <w:sz w:val="20"/>
          <w:szCs w:val="20"/>
        </w:rPr>
        <w:t xml:space="preserve">OntoRisk BI addresses this gap. Its contribution is integration rather than novelty in any single layer: a semantic layer, a dimensional warehouse and a data-mining layer are combined in one open, reproducible pipeline, each in the simplest form that still produces a genuine artefact for the next layer. The specific contributions are:</w:t>
      </w:r>
    </w:p>
    <w:p>
      <w:pPr>
        <w:pStyle w:val="ListParagraph"/>
        <w:numPr>
          <w:ilvl w:val="0"/>
          <w:numId w:val="2"/>
        </w:numPr>
        <w:spacing w:after="20" w:line="230"/>
        <w:jc w:val="both"/>
      </w:pPr>
      <w:r>
        <w:rPr>
          <w:rFonts w:ascii="Times New Roman" w:cs="Times New Roman" w:eastAsia="Times New Roman" w:hAnsi="Times New Roman"/>
          <w:sz w:val="20"/>
          <w:szCs w:val="20"/>
        </w:rPr>
        <w:t xml:space="preserve">a compact OWL ontology (six classes, two object properties) for business-risk events, with impact and provenance modelled as data properties;</w:t>
      </w:r>
    </w:p>
    <w:p>
      <w:pPr>
        <w:pStyle w:val="ListParagraph"/>
        <w:numPr>
          <w:ilvl w:val="0"/>
          <w:numId w:val="2"/>
        </w:numPr>
        <w:spacing w:after="20" w:line="230"/>
        <w:jc w:val="both"/>
      </w:pPr>
      <w:r>
        <w:rPr>
          <w:rFonts w:ascii="Times New Roman" w:cs="Times New Roman" w:eastAsia="Times New Roman" w:hAnsi="Times New Roman"/>
          <w:sz w:val="20"/>
          <w:szCs w:val="20"/>
        </w:rPr>
        <w:t xml:space="preserve">a transparent, auditable extraction layer (spaCy NER, a curated 63-term risk vocabulary and a paragraph-level co-occurrence rule) whose precision is measured against ground truth;</w:t>
      </w:r>
    </w:p>
    <w:p>
      <w:pPr>
        <w:pStyle w:val="ListParagraph"/>
        <w:numPr>
          <w:ilvl w:val="0"/>
          <w:numId w:val="2"/>
        </w:numPr>
        <w:spacing w:after="20" w:line="230"/>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i/>
          <w:iCs/>
          <w:sz w:val="20"/>
          <w:szCs w:val="20"/>
        </w:rPr>
        <w:t xml:space="preserve">hybrid</w:t>
      </w:r>
      <w:r>
        <w:rPr>
          <w:rFonts w:ascii="Times New Roman" w:cs="Times New Roman" w:eastAsia="Times New Roman" w:hAnsi="Times New Roman"/>
          <w:sz w:val="20"/>
          <w:szCs w:val="20"/>
        </w:rPr>
        <w:t xml:space="preserve"> warehouse in which every fact row of a DuckDB star schema is linked to its RDF triples through a shared event identifier, so SQL and SPARQL results can be joined;</w:t>
      </w:r>
    </w:p>
    <w:p>
      <w:pPr>
        <w:pStyle w:val="ListParagraph"/>
        <w:numPr>
          <w:ilvl w:val="0"/>
          <w:numId w:val="2"/>
        </w:numPr>
        <w:spacing w:after="20" w:line="230"/>
        <w:jc w:val="both"/>
      </w:pPr>
      <w:r>
        <w:rPr>
          <w:rFonts w:ascii="Times New Roman" w:cs="Times New Roman" w:eastAsia="Times New Roman" w:hAnsi="Times New Roman"/>
          <w:sz w:val="20"/>
          <w:szCs w:val="20"/>
        </w:rPr>
        <w:t xml:space="preserve">FP-Growth association rules and k-Means clusters mined from the warehouse, re-computed interactively for any OLAP slice;</w:t>
      </w:r>
    </w:p>
    <w:p>
      <w:pPr>
        <w:pStyle w:val="ListParagraph"/>
        <w:numPr>
          <w:ilvl w:val="0"/>
          <w:numId w:val="2"/>
        </w:numPr>
        <w:spacing w:after="20" w:line="230"/>
        <w:jc w:val="both"/>
      </w:pPr>
      <w:r>
        <w:rPr>
          <w:rFonts w:ascii="Times New Roman" w:cs="Times New Roman" w:eastAsia="Times New Roman" w:hAnsi="Times New Roman"/>
          <w:sz w:val="20"/>
          <w:szCs w:val="20"/>
        </w:rPr>
        <w:t xml:space="preserve">an interactive dashboard and a fully tested, deployable code base.</w:t>
      </w:r>
    </w:p>
    <w:p>
      <w:pPr>
        <w:spacing w:after="0" w:line="230"/>
        <w:ind w:firstLine="202"/>
        <w:jc w:val="both"/>
      </w:pPr>
      <w:r>
        <w:rPr>
          <w:rFonts w:ascii="Times New Roman" w:cs="Times New Roman" w:eastAsia="Times New Roman" w:hAnsi="Times New Roman"/>
          <w:sz w:val="20"/>
          <w:szCs w:val="20"/>
        </w:rPr>
        <w:t xml:space="preserve">Section II reviews related work, Section III describes the architecture, Section IV details the methodology and Section V the implementation. Section VI reports results, Section VII discusses limitations and future work, and Section VIII concludes.</w:t>
      </w:r>
    </w:p>
    <w:p>
      <w:pPr>
        <w:pStyle w:val="Heading1"/>
        <w:keepNext/>
        <w:spacing w:after="100" w:before="200"/>
        <w:jc w:val="center"/>
      </w:pPr>
      <w:r>
        <w:rPr>
          <w:rFonts w:ascii="Times New Roman" w:cs="Times New Roman" w:eastAsia="Times New Roman" w:hAnsi="Times New Roman"/>
          <w:smallCaps/>
          <w:sz w:val="20"/>
          <w:szCs w:val="20"/>
        </w:rPr>
        <w:t xml:space="preserve">II. Related Work</w:t>
      </w:r>
    </w:p>
    <w:p>
      <w:pPr>
        <w:pStyle w:val="Heading2"/>
        <w:keepNext/>
        <w:spacing w:after="60" w:before="120"/>
      </w:pPr>
      <w:r>
        <w:rPr>
          <w:rFonts w:ascii="Times New Roman" w:cs="Times New Roman" w:eastAsia="Times New Roman" w:hAnsi="Times New Roman"/>
          <w:i/>
          <w:iCs/>
          <w:sz w:val="20"/>
          <w:szCs w:val="20"/>
        </w:rPr>
        <w:t xml:space="preserve">A. Ontologies and the Semantic Web</w:t>
      </w:r>
    </w:p>
    <w:p>
      <w:pPr>
        <w:spacing w:after="0" w:line="230"/>
        <w:ind w:firstLine="202"/>
        <w:jc w:val="both"/>
      </w:pPr>
      <w:r>
        <w:rPr>
          <w:rFonts w:ascii="Times New Roman" w:cs="Times New Roman" w:eastAsia="Times New Roman" w:hAnsi="Times New Roman"/>
          <w:sz w:val="20"/>
          <w:szCs w:val="20"/>
        </w:rPr>
        <w:t xml:space="preserve">An ontology is an explicit specification of a shared conceptualisation [5]. The W3C semantic-web stack represents knowledge as RDF triples [6], describes vocabularies with OWL [7] and queries graphs with SPARQL [8]. Methodological guidance recommends starting from competency questions and keeping the class hierarchy minimal [9]; Protégé is the de-facto editor for inspecting and reasoning over OWL ontologies [10]. OntoRisk BI follows this advice: the ontology is generated as code with RDFLib, opens in Protégé, and is validated with SPARQL.</w:t>
      </w:r>
    </w:p>
    <w:p>
      <w:pPr>
        <w:pStyle w:val="Heading2"/>
        <w:keepNext/>
        <w:spacing w:after="60" w:before="120"/>
      </w:pPr>
      <w:r>
        <w:rPr>
          <w:rFonts w:ascii="Times New Roman" w:cs="Times New Roman" w:eastAsia="Times New Roman" w:hAnsi="Times New Roman"/>
          <w:i/>
          <w:iCs/>
          <w:sz w:val="20"/>
          <w:szCs w:val="20"/>
        </w:rPr>
        <w:t xml:space="preserve">B. Data Warehousing and OLAP</w:t>
      </w:r>
    </w:p>
    <w:p>
      <w:pPr>
        <w:spacing w:after="0" w:line="230"/>
        <w:ind w:firstLine="202"/>
        <w:jc w:val="both"/>
      </w:pPr>
      <w:r>
        <w:rPr>
          <w:rFonts w:ascii="Times New Roman" w:cs="Times New Roman" w:eastAsia="Times New Roman" w:hAnsi="Times New Roman"/>
          <w:sz w:val="20"/>
          <w:szCs w:val="20"/>
        </w:rPr>
        <w:t xml:space="preserve">Inmon defines the warehouse as a subject-oriented, integrated, time-variant store [11], while Kimball’s dimensional approach organises it as star schemas of facts and conformed dimensions [4]. OLAP operations (roll-up, drill-down, slice and dice) over such schemas are the core of BI [12]. Embedded columnar engines such as DuckDB bring this analytical model to a single process without a server [13].</w:t>
      </w:r>
    </w:p>
    <w:p>
      <w:pPr>
        <w:pStyle w:val="Heading2"/>
        <w:keepNext/>
        <w:spacing w:after="60" w:before="120"/>
      </w:pPr>
      <w:r>
        <w:rPr>
          <w:rFonts w:ascii="Times New Roman" w:cs="Times New Roman" w:eastAsia="Times New Roman" w:hAnsi="Times New Roman"/>
          <w:i/>
          <w:iCs/>
          <w:sz w:val="20"/>
          <w:szCs w:val="20"/>
        </w:rPr>
        <w:t xml:space="preserve">C. Semantic Data Warehouses</w:t>
      </w:r>
    </w:p>
    <w:p>
      <w:pPr>
        <w:spacing w:after="0" w:line="230"/>
        <w:ind w:firstLine="202"/>
        <w:jc w:val="both"/>
      </w:pPr>
      <w:r>
        <w:rPr>
          <w:rFonts w:ascii="Times New Roman" w:cs="Times New Roman" w:eastAsia="Times New Roman" w:hAnsi="Times New Roman"/>
          <w:sz w:val="20"/>
          <w:szCs w:val="20"/>
        </w:rPr>
        <w:t xml:space="preserve">Several works combine semantic-web data with warehouses. Nebot and Berlanga build multidimensional warehouses from semantically annotated data [14], and Abelló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survey the use of semantic-web technologies for exploratory OLAP [15]. These systems typically assume curated RDF sources; OntoRisk BI instead </w:t>
      </w:r>
      <w:r>
        <w:rPr>
          <w:rFonts w:ascii="Times New Roman" w:cs="Times New Roman" w:eastAsia="Times New Roman" w:hAnsi="Times New Roman"/>
          <w:i/>
          <w:iCs/>
          <w:sz w:val="20"/>
          <w:szCs w:val="20"/>
        </w:rPr>
        <w:t xml:space="preserve">produces</w:t>
      </w:r>
      <w:r>
        <w:rPr>
          <w:rFonts w:ascii="Times New Roman" w:cs="Times New Roman" w:eastAsia="Times New Roman" w:hAnsi="Times New Roman"/>
          <w:sz w:val="20"/>
          <w:szCs w:val="20"/>
        </w:rPr>
        <w:t xml:space="preserve"> the RDF from raw news text and keeps the triples and the fact rows linked one-to-one.</w:t>
      </w:r>
    </w:p>
    <w:p>
      <w:pPr>
        <w:pStyle w:val="Heading2"/>
        <w:keepNext/>
        <w:spacing w:after="60" w:before="120"/>
      </w:pPr>
      <w:r>
        <w:rPr>
          <w:rFonts w:ascii="Times New Roman" w:cs="Times New Roman" w:eastAsia="Times New Roman" w:hAnsi="Times New Roman"/>
          <w:i/>
          <w:iCs/>
          <w:sz w:val="20"/>
          <w:szCs w:val="20"/>
        </w:rPr>
        <w:t xml:space="preserve">D. Information Extraction and Pattern Mining</w:t>
      </w:r>
    </w:p>
    <w:p>
      <w:pPr>
        <w:spacing w:after="0" w:line="230"/>
        <w:ind w:firstLine="202"/>
        <w:jc w:val="both"/>
      </w:pPr>
      <w:r>
        <w:rPr>
          <w:rFonts w:ascii="Times New Roman" w:cs="Times New Roman" w:eastAsia="Times New Roman" w:hAnsi="Times New Roman"/>
          <w:sz w:val="20"/>
          <w:szCs w:val="20"/>
        </w:rPr>
        <w:t xml:space="preserve">Named entity recognition (NER) identifies organisations, places and dates in text [16]; spaCy provides fast statistical NER pipelines [17]. For pattern discovery, Apriori [18] and FP-Growth [19] mine frequent itemsets and association rules, and k-Means [20] with the silhouette coefficient [21] is the standard baseline for partitional clustering. OntoRisk BI applies these well-understood techniques to the risk events extracted from text.</w:t>
      </w:r>
    </w:p>
    <w:p>
      <w:pPr>
        <w:pStyle w:val="Heading1"/>
        <w:keepNext/>
        <w:spacing w:after="100" w:before="200"/>
        <w:jc w:val="center"/>
      </w:pPr>
      <w:r>
        <w:rPr>
          <w:rFonts w:ascii="Times New Roman" w:cs="Times New Roman" w:eastAsia="Times New Roman" w:hAnsi="Times New Roman"/>
          <w:smallCaps/>
          <w:sz w:val="20"/>
          <w:szCs w:val="20"/>
        </w:rPr>
        <w:t xml:space="preserve">III. System Architecture</w:t>
      </w:r>
    </w:p>
    <w:p>
      <w:pPr>
        <w:spacing w:after="0" w:line="230"/>
        <w:ind w:firstLine="202"/>
        <w:jc w:val="both"/>
      </w:pPr>
      <w:r>
        <w:rPr>
          <w:rFonts w:ascii="Times New Roman" w:cs="Times New Roman" w:eastAsia="Times New Roman" w:hAnsi="Times New Roman"/>
          <w:sz w:val="20"/>
          <w:szCs w:val="20"/>
        </w:rPr>
        <w:t xml:space="preserve">Fig. 1 shows the pipeline. It is organised as four layers and eight independently testable stages, each implemented as one Python module and orchestrated by </w:t>
      </w:r>
      <w:r>
        <w:rPr>
          <w:rFonts w:ascii="Courier New" w:cs="Courier New" w:eastAsia="Courier New" w:hAnsi="Courier New"/>
          <w:sz w:val="18"/>
          <w:szCs w:val="18"/>
        </w:rPr>
        <w:t xml:space="preserve">run_pipeline.py</w:t>
      </w:r>
      <w:r>
        <w:rPr>
          <w:rFonts w:ascii="Times New Roman" w:cs="Times New Roman" w:eastAsia="Times New Roman" w:hAnsi="Times New Roman"/>
          <w:sz w:val="20"/>
          <w:szCs w:val="20"/>
        </w:rPr>
        <w:t xml:space="preserve">:</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Acquisition and NLP</w:t>
      </w:r>
      <w:r>
        <w:rPr>
          <w:rFonts w:ascii="Times New Roman" w:cs="Times New Roman" w:eastAsia="Times New Roman" w:hAnsi="Times New Roman"/>
          <w:sz w:val="20"/>
          <w:szCs w:val="20"/>
        </w:rPr>
        <w:t xml:space="preserve"> — corpus collection, text cleaning and preprocessing, NER and risk-term tagging;</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Semantic layer</w:t>
      </w:r>
      <w:r>
        <w:rPr>
          <w:rFonts w:ascii="Times New Roman" w:cs="Times New Roman" w:eastAsia="Times New Roman" w:hAnsi="Times New Roman"/>
          <w:sz w:val="20"/>
          <w:szCs w:val="20"/>
        </w:rPr>
        <w:t xml:space="preserve"> — the co-occurrence relation rule, impact scoring, RDF generation against the ontology and SPARQL validation;</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Hybrid warehouse</w:t>
      </w:r>
      <w:r>
        <w:rPr>
          <w:rFonts w:ascii="Times New Roman" w:cs="Times New Roman" w:eastAsia="Times New Roman" w:hAnsi="Times New Roman"/>
          <w:sz w:val="20"/>
          <w:szCs w:val="20"/>
        </w:rPr>
        <w:t xml:space="preserve"> — Pandas ETL with data-quality checks into a DuckDB star schema plus a triple–fact bridge;</w:t>
      </w:r>
    </w:p>
    <w:p>
      <w:pPr>
        <w:pStyle w:val="ListParagraph"/>
        <w:numPr>
          <w:ilvl w:val="0"/>
          <w:numId w:val="2"/>
        </w:numPr>
        <w:spacing w:after="20" w:line="230"/>
        <w:jc w:val="both"/>
      </w:pPr>
      <w:r>
        <w:rPr>
          <w:rFonts w:ascii="Times New Roman" w:cs="Times New Roman" w:eastAsia="Times New Roman" w:hAnsi="Times New Roman"/>
          <w:b/>
          <w:bCs/>
          <w:sz w:val="20"/>
          <w:szCs w:val="20"/>
        </w:rPr>
        <w:t xml:space="preserve">Mining and presentation</w:t>
      </w:r>
      <w:r>
        <w:rPr>
          <w:rFonts w:ascii="Times New Roman" w:cs="Times New Roman" w:eastAsia="Times New Roman" w:hAnsi="Times New Roman"/>
          <w:sz w:val="20"/>
          <w:szCs w:val="20"/>
        </w:rPr>
        <w:t xml:space="preserve"> — FP-Growth rules, k-Means clusters, evaluation, figures and the Streamlit dashboard.</w:t>
      </w:r>
    </w:p>
    <w:p>
      <w:pPr>
        <w:keepNext/>
        <w:spacing w:after="0" w:before="120"/>
        <w:jc w:val="center"/>
      </w:pPr>
      <w:r>
        <w:drawing>
          <wp:inline distT="0" distB="0" distL="0" distR="0">
            <wp:extent cx="3143250" cy="2886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886075"/>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OntoRisk BI architecture. Solid arrows show data flow; dashed arrows show the event_id link between the knowledge graph and the warehouse and the SPARQL queries issued from the dashboard.</w:t>
      </w:r>
    </w:p>
    <w:p>
      <w:pPr>
        <w:spacing w:after="0" w:line="230"/>
        <w:ind w:firstLine="202"/>
        <w:jc w:val="both"/>
      </w:pPr>
      <w:r>
        <w:rPr>
          <w:rFonts w:ascii="Times New Roman" w:cs="Times New Roman" w:eastAsia="Times New Roman" w:hAnsi="Times New Roman"/>
          <w:sz w:val="20"/>
          <w:szCs w:val="20"/>
        </w:rPr>
        <w:t xml:space="preserve">All paths, namespaces and thresholds live in a single configuration module, so the whole pipeline can be re-pointed at another corpus by editing one file or passing </w:t>
      </w:r>
      <w:r>
        <w:rPr>
          <w:rFonts w:ascii="Courier New" w:cs="Courier New" w:eastAsia="Courier New" w:hAnsi="Courier New"/>
          <w:sz w:val="18"/>
          <w:szCs w:val="18"/>
        </w:rPr>
        <w:t xml:space="preserve">--input news.csv</w:t>
      </w:r>
      <w:r>
        <w:rPr>
          <w:rFonts w:ascii="Times New Roman" w:cs="Times New Roman" w:eastAsia="Times New Roman" w:hAnsi="Times New Roman"/>
          <w:sz w:val="20"/>
          <w:szCs w:val="20"/>
        </w:rPr>
        <w:t xml:space="preserve">.</w:t>
      </w:r>
    </w:p>
    <w:p>
      <w:pPr>
        <w:pStyle w:val="Heading1"/>
        <w:keepNext/>
        <w:spacing w:after="100" w:before="200"/>
        <w:jc w:val="center"/>
      </w:pPr>
      <w:r>
        <w:rPr>
          <w:rFonts w:ascii="Times New Roman" w:cs="Times New Roman" w:eastAsia="Times New Roman" w:hAnsi="Times New Roman"/>
          <w:smallCaps/>
          <w:sz w:val="20"/>
          <w:szCs w:val="20"/>
        </w:rPr>
        <w:t xml:space="preserve">IV. Methodology</w:t>
      </w:r>
    </w:p>
    <w:p>
      <w:pPr>
        <w:pStyle w:val="Heading2"/>
        <w:keepNext/>
        <w:spacing w:after="60" w:before="120"/>
      </w:pPr>
      <w:r>
        <w:rPr>
          <w:rFonts w:ascii="Times New Roman" w:cs="Times New Roman" w:eastAsia="Times New Roman" w:hAnsi="Times New Roman"/>
          <w:i/>
          <w:iCs/>
          <w:sz w:val="20"/>
          <w:szCs w:val="20"/>
        </w:rPr>
        <w:t xml:space="preserve">A. Corpus Collection</w:t>
      </w:r>
    </w:p>
    <w:p>
      <w:pPr>
        <w:spacing w:after="0" w:line="230"/>
        <w:ind w:firstLine="202"/>
        <w:jc w:val="both"/>
      </w:pPr>
      <w:r>
        <w:rPr>
          <w:rFonts w:ascii="Times New Roman" w:cs="Times New Roman" w:eastAsia="Times New Roman" w:hAnsi="Times New Roman"/>
          <w:sz w:val="20"/>
          <w:szCs w:val="20"/>
        </w:rPr>
        <w:t xml:space="preserve">The system accepts any public news CSV with a text column (e.g. an Indian business-news dataset); a loader maps common column names (title/headline, text/content/body, date/published_at, source) onto the project schema. For evaluation, a reproducible </w:t>
      </w:r>
      <w:r>
        <w:rPr>
          <w:rFonts w:ascii="Times New Roman" w:cs="Times New Roman" w:eastAsia="Times New Roman" w:hAnsi="Times New Roman"/>
          <w:i/>
          <w:iCs/>
          <w:sz w:val="20"/>
          <w:szCs w:val="20"/>
        </w:rPr>
        <w:t xml:space="preserve">synthetic</w:t>
      </w:r>
      <w:r>
        <w:rPr>
          <w:rFonts w:ascii="Times New Roman" w:cs="Times New Roman" w:eastAsia="Times New Roman" w:hAnsi="Times New Roman"/>
          <w:sz w:val="20"/>
          <w:szCs w:val="20"/>
        </w:rPr>
        <w:t xml:space="preserve"> corpus is generated from templates: companies are fictional, but places, risk categories and seasonality follow the Indian context (monsoon in June–September, cyclones in October–November, port congestion at Nhava Sheva, Mundra and Chennai, policy news from New Delhi). Each article deliberately contains realistic noise (analyst remarks, second places, generic mentions) so that the extraction rule produces some spurious events. Because the generator knows which organisation, place and risk were really involved, it also writes a gold-standard file of 297 true events, which allows precision and recall to be measured automatically. The default corpus contains 243 raw records covering four sectors (Supply Chain &amp; Logistics, Retail, Finance and Manufacturing) between January 2024 and December 2025.</w:t>
      </w:r>
    </w:p>
    <w:p>
      <w:pPr>
        <w:pStyle w:val="Heading2"/>
        <w:keepNext/>
        <w:spacing w:after="60" w:before="120"/>
      </w:pPr>
      <w:r>
        <w:rPr>
          <w:rFonts w:ascii="Times New Roman" w:cs="Times New Roman" w:eastAsia="Times New Roman" w:hAnsi="Times New Roman"/>
          <w:i/>
          <w:iCs/>
          <w:sz w:val="20"/>
          <w:szCs w:val="20"/>
        </w:rPr>
        <w:t xml:space="preserve">B. Preprocessing and Named Entity Recognition</w:t>
      </w:r>
    </w:p>
    <w:p>
      <w:pPr>
        <w:spacing w:after="0" w:line="230"/>
        <w:ind w:firstLine="202"/>
        <w:jc w:val="both"/>
      </w:pPr>
      <w:r>
        <w:rPr>
          <w:rFonts w:ascii="Times New Roman" w:cs="Times New Roman" w:eastAsia="Times New Roman" w:hAnsi="Times New Roman"/>
          <w:sz w:val="20"/>
          <w:szCs w:val="20"/>
        </w:rPr>
        <w:t xml:space="preserve">Each article is split into paragraphs (falling back to the whole article if no paragraph breaks exist). For analysis, text is tokenised, lemmatised and stripped of stop-words, punctuation and numbers with spaCy. NER is run with </w:t>
      </w:r>
      <w:r>
        <w:rPr>
          <w:rFonts w:ascii="Courier New" w:cs="Courier New" w:eastAsia="Courier New" w:hAnsi="Courier New"/>
          <w:sz w:val="18"/>
          <w:szCs w:val="18"/>
        </w:rPr>
        <w:t xml:space="preserve">en_core_web_sm</w:t>
      </w:r>
      <w:r>
        <w:rPr>
          <w:rFonts w:ascii="Times New Roman" w:cs="Times New Roman" w:eastAsia="Times New Roman" w:hAnsi="Times New Roman"/>
          <w:sz w:val="20"/>
          <w:szCs w:val="20"/>
        </w:rPr>
        <w:t xml:space="preserve"> on the </w:t>
      </w:r>
      <w:r>
        <w:rPr>
          <w:rFonts w:ascii="Times New Roman" w:cs="Times New Roman" w:eastAsia="Times New Roman" w:hAnsi="Times New Roman"/>
          <w:i/>
          <w:iCs/>
          <w:sz w:val="20"/>
          <w:szCs w:val="20"/>
        </w:rPr>
        <w:t xml:space="preserve">original</w:t>
      </w:r>
      <w:r>
        <w:rPr>
          <w:rFonts w:ascii="Times New Roman" w:cs="Times New Roman" w:eastAsia="Times New Roman" w:hAnsi="Times New Roman"/>
          <w:sz w:val="20"/>
          <w:szCs w:val="20"/>
        </w:rPr>
        <w:t xml:space="preserve"> paragraphs, because capitalisation and function words are needed for recognition; ORG, GPE, LOC and DATE entities are kept [17]. Organisation names are normalised (possessives and leading articles removed) and places are mapped to region, state and country through a gazetteer of Indian states and key foreign ports.</w:t>
      </w:r>
    </w:p>
    <w:p>
      <w:pPr>
        <w:spacing w:after="0" w:line="230"/>
        <w:ind w:firstLine="202"/>
        <w:jc w:val="both"/>
      </w:pPr>
      <w:r>
        <w:rPr>
          <w:rFonts w:ascii="Times New Roman" w:cs="Times New Roman" w:eastAsia="Times New Roman" w:hAnsi="Times New Roman"/>
          <w:sz w:val="20"/>
          <w:szCs w:val="20"/>
        </w:rPr>
        <w:t xml:space="preserve">Risk terms are tagged with spaCy’s PhraseMatcher over a curated vocabulary of 63 weighted terms in five risk types (Table I). Matching is case-insensitive and longest-match-first, so “port congestion” wins over “congestion”. Each term carries a weight from 1 to 3; a separate list of intensity cues (e.g. </w:t>
      </w:r>
      <w:r>
        <w:rPr>
          <w:rFonts w:ascii="Times New Roman" w:cs="Times New Roman" w:eastAsia="Times New Roman" w:hAnsi="Times New Roman"/>
          <w:i/>
          <w:iCs/>
          <w:sz w:val="20"/>
          <w:szCs w:val="20"/>
        </w:rPr>
        <w:t xml:space="preserve">severe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halted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crore</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minor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resumed</w:t>
      </w:r>
      <w:r>
        <w:rPr>
          <w:rFonts w:ascii="Times New Roman" w:cs="Times New Roman" w:eastAsia="Times New Roman" w:hAnsi="Times New Roman"/>
          <w:sz w:val="20"/>
          <w:szCs w:val="20"/>
        </w:rPr>
        <w:t xml:space="preserve">) raises or lowers the severity of an article.</w:t>
      </w:r>
    </w:p>
    <w:p>
      <w:pPr>
        <w:keepNext/>
        <w:spacing w:after="0" w:before="16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Risk Vocabulary by Risk Type</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942"/>
        <w:gridCol w:w="1538"/>
        <w:gridCol w:w="545"/>
        <w:gridCol w:w="1937"/>
      </w:tblGrid>
      <w:tr>
        <w:trPr>
          <w:cantSplit/>
          <w:tblHeader/>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Risk type</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Sub-type</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Terms</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Examples</w:t>
            </w:r>
          </w:p>
        </w:tc>
      </w:tr>
      <w:tr>
        <w:trPr>
          <w:cantSplit/>
          <w:tblHeader w:val="off"/>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Weather</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Monsoon / natural disaster</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15</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monsoon, heavy rainfall, flood</w:t>
            </w:r>
          </w:p>
        </w:tc>
      </w:tr>
      <w:tr>
        <w:trPr>
          <w:cantSplit/>
          <w:tblHeader w:val="off"/>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Logistics</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Port congestion / transport</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13</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port congestion, vessel backlog</w:t>
            </w:r>
          </w:p>
        </w:tc>
      </w:tr>
      <w:tr>
        <w:trPr>
          <w:cantSplit/>
          <w:tblHeader w:val="off"/>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Policy</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Regulatory / policy change</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13</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export ban, import duty, GST revision</w:t>
            </w:r>
          </w:p>
        </w:tc>
      </w:tr>
      <w:tr>
        <w:trPr>
          <w:cantSplit/>
          <w:tblHeader w:val="off"/>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Supplier</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Supplier failure / shortage</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11</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supplier insolvency, chip shortage</w:t>
            </w:r>
          </w:p>
        </w:tc>
      </w:tr>
      <w:tr>
        <w:trPr>
          <w:cantSplit/>
          <w:tblHeader w:val="off"/>
        </w:trPr>
        <w:tc>
          <w:tcPr>
            <w:tcW w:type="dxa" w:w="94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Reputational</w:t>
            </w:r>
          </w:p>
        </w:tc>
        <w:tc>
          <w:tcPr>
            <w:tcW w:type="dxa" w:w="153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Brand / reputational incident</w:t>
            </w:r>
          </w:p>
        </w:tc>
        <w:tc>
          <w:tcPr>
            <w:tcW w:type="dxa" w:w="5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center"/>
            </w:pPr>
            <w:r>
              <w:rPr>
                <w:rFonts w:ascii="Times New Roman" w:cs="Times New Roman" w:eastAsia="Times New Roman" w:hAnsi="Times New Roman"/>
                <w:b w:val="false"/>
                <w:bCs w:val="false"/>
                <w:sz w:val="16"/>
                <w:szCs w:val="16"/>
              </w:rPr>
              <w:t xml:space="preserve">11</w:t>
            </w:r>
          </w:p>
        </w:tc>
        <w:tc>
          <w:tcPr>
            <w:tcW w:type="dxa" w:w="19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product recall, data breach</w:t>
            </w:r>
          </w:p>
        </w:tc>
      </w:tr>
    </w:tbl>
    <w:p>
      <w:pPr>
        <w:spacing w:after="120"/>
      </w:pPr>
    </w:p>
    <w:p>
      <w:pPr>
        <w:pStyle w:val="Heading2"/>
        <w:keepNext/>
        <w:spacing w:after="60" w:before="120"/>
      </w:pPr>
      <w:r>
        <w:rPr>
          <w:rFonts w:ascii="Times New Roman" w:cs="Times New Roman" w:eastAsia="Times New Roman" w:hAnsi="Times New Roman"/>
          <w:i/>
          <w:iCs/>
          <w:sz w:val="20"/>
          <w:szCs w:val="20"/>
        </w:rPr>
        <w:t xml:space="preserve">C. Co-occurrence Relation Extraction and Impact Scoring</w:t>
      </w:r>
    </w:p>
    <w:p>
      <w:pPr>
        <w:spacing w:after="0" w:line="230"/>
        <w:ind w:firstLine="202"/>
        <w:jc w:val="both"/>
      </w:pPr>
      <w:r>
        <w:rPr>
          <w:rFonts w:ascii="Times New Roman" w:cs="Times New Roman" w:eastAsia="Times New Roman" w:hAnsi="Times New Roman"/>
          <w:sz w:val="20"/>
          <w:szCs w:val="20"/>
        </w:rPr>
        <w:t xml:space="preserve">No model is trained; relations are extracted by a transparent rule. For every paragraph that contains at least one organisation, one location and one risk-vocabulary term, a </w:t>
      </w:r>
      <w:r>
        <w:rPr>
          <w:rFonts w:ascii="Times New Roman" w:cs="Times New Roman" w:eastAsia="Times New Roman" w:hAnsi="Times New Roman"/>
          <w:i/>
          <w:iCs/>
          <w:sz w:val="20"/>
          <w:szCs w:val="20"/>
        </w:rPr>
        <w:t xml:space="preserve">RiskEvent</w:t>
      </w:r>
      <w:r>
        <w:rPr>
          <w:rFonts w:ascii="Times New Roman" w:cs="Times New Roman" w:eastAsia="Times New Roman" w:hAnsi="Times New Roman"/>
          <w:sz w:val="20"/>
          <w:szCs w:val="20"/>
        </w:rPr>
        <w:t xml:space="preserve"> is created for each (organisation, location, risk type) combination, and the triples ⟨entity, </w:t>
      </w:r>
      <w:r>
        <w:rPr>
          <w:rFonts w:ascii="Courier New" w:cs="Courier New" w:eastAsia="Courier New" w:hAnsi="Courier New"/>
          <w:sz w:val="18"/>
          <w:szCs w:val="18"/>
        </w:rPr>
        <w:t xml:space="preserve">affects</w:t>
      </w:r>
      <w:r>
        <w:rPr>
          <w:rFonts w:ascii="Times New Roman" w:cs="Times New Roman" w:eastAsia="Times New Roman" w:hAnsi="Times New Roman"/>
          <w:sz w:val="20"/>
          <w:szCs w:val="20"/>
        </w:rPr>
        <w:t xml:space="preserve">, event⟩ and ⟨event, </w:t>
      </w:r>
      <w:r>
        <w:rPr>
          <w:rFonts w:ascii="Courier New" w:cs="Courier New" w:eastAsia="Courier New" w:hAnsi="Courier New"/>
          <w:sz w:val="18"/>
          <w:szCs w:val="18"/>
        </w:rPr>
        <w:t xml:space="preserve">locatedIn</w:t>
      </w:r>
      <w:r>
        <w:rPr>
          <w:rFonts w:ascii="Times New Roman" w:cs="Times New Roman" w:eastAsia="Times New Roman" w:hAnsi="Times New Roman"/>
          <w:sz w:val="20"/>
          <w:szCs w:val="20"/>
        </w:rPr>
        <w:t xml:space="preserve">, location⟩ are generated, together with data-property triples for score, severity, date and provenance. Before the rule fires, duplicates of the same (article, organisation, place, risk type) are merged, and when an organisation is linked to both a city and its own state only the more specific city is kept.</w:t>
      </w:r>
    </w:p>
    <w:p>
      <w:pPr>
        <w:spacing w:after="0" w:line="230"/>
        <w:ind w:firstLine="202"/>
        <w:jc w:val="both"/>
      </w:pPr>
      <w:r>
        <w:rPr>
          <w:rFonts w:ascii="Times New Roman" w:cs="Times New Roman" w:eastAsia="Times New Roman" w:hAnsi="Times New Roman"/>
          <w:sz w:val="20"/>
          <w:szCs w:val="20"/>
        </w:rPr>
        <w:t xml:space="preserve">Each event receives an impact score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on a 0–10 scale from a transparent heuristic:</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1.5</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+ 0.8 min(</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−1, 2) + 1.6</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+ 0.5</w:t>
      </w:r>
      <w:r>
        <w:rPr>
          <w:rFonts w:ascii="Times New Roman" w:cs="Times New Roman" w:eastAsia="Times New Roman" w:hAnsi="Times New Roman"/>
          <w:sz w:val="20"/>
          <w:szCs w:val="20"/>
        </w:rPr>
        <w:t xml:space="preserve">	(1)</w:t>
      </w:r>
    </w:p>
    <w:p>
      <w:pPr>
        <w:spacing w:after="0" w:line="230"/>
        <w:ind w:firstLine="0"/>
        <w:jc w:val="both"/>
      </w:pPr>
      <w:r>
        <w:rPr>
          <w:rFonts w:ascii="Times New Roman" w:cs="Times New Roman" w:eastAsia="Times New Roman" w:hAnsi="Times New Roman"/>
          <w:sz w:val="20"/>
          <w:szCs w:val="20"/>
        </w:rPr>
        <w:t xml:space="preserve">clipped to [0, 10], 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is the highest weight of the matched terms,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the number of mentions of that risk type in the article,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the summed intensity of the article’s cue words and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 1 if the event comes from the lead paragraph. The severity band is Low for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&lt; 4, Medium for 4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&lt; 7 and High for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7.</w:t>
      </w:r>
    </w:p>
    <w:p>
      <w:pPr>
        <w:pStyle w:val="Heading2"/>
        <w:keepNext/>
        <w:spacing w:after="60" w:before="120"/>
      </w:pPr>
      <w:r>
        <w:rPr>
          <w:rFonts w:ascii="Times New Roman" w:cs="Times New Roman" w:eastAsia="Times New Roman" w:hAnsi="Times New Roman"/>
          <w:i/>
          <w:iCs/>
          <w:sz w:val="20"/>
          <w:szCs w:val="20"/>
        </w:rPr>
        <w:t xml:space="preserve">D. Ontology Design</w:t>
      </w:r>
    </w:p>
    <w:p>
      <w:pPr>
        <w:spacing w:after="0" w:line="230"/>
        <w:ind w:firstLine="202"/>
        <w:jc w:val="both"/>
      </w:pPr>
      <w:r>
        <w:rPr>
          <w:rFonts w:ascii="Times New Roman" w:cs="Times New Roman" w:eastAsia="Times New Roman" w:hAnsi="Times New Roman"/>
          <w:sz w:val="20"/>
          <w:szCs w:val="20"/>
        </w:rPr>
        <w:t xml:space="preserve">The ontology (Fig. 2, Table II) is deliberately compact. It has six mutually disjoint classes and exactly two object properties: </w:t>
      </w:r>
      <w:r>
        <w:rPr>
          <w:rFonts w:ascii="Courier New" w:cs="Courier New" w:eastAsia="Courier New" w:hAnsi="Courier New"/>
          <w:sz w:val="18"/>
          <w:szCs w:val="18"/>
        </w:rPr>
        <w:t xml:space="preserve">affects</w:t>
      </w:r>
      <w:r>
        <w:rPr>
          <w:rFonts w:ascii="Times New Roman" w:cs="Times New Roman" w:eastAsia="Times New Roman" w:hAnsi="Times New Roman"/>
          <w:sz w:val="20"/>
          <w:szCs w:val="20"/>
        </w:rPr>
        <w:t xml:space="preserve"> (Entity → RiskEvent) and </w:t>
      </w:r>
      <w:r>
        <w:rPr>
          <w:rFonts w:ascii="Courier New" w:cs="Courier New" w:eastAsia="Courier New" w:hAnsi="Courier New"/>
          <w:sz w:val="18"/>
          <w:szCs w:val="18"/>
        </w:rPr>
        <w:t xml:space="preserve">locatedIn</w:t>
      </w:r>
      <w:r>
        <w:rPr>
          <w:rFonts w:ascii="Times New Roman" w:cs="Times New Roman" w:eastAsia="Times New Roman" w:hAnsi="Times New Roman"/>
          <w:sz w:val="20"/>
          <w:szCs w:val="20"/>
        </w:rPr>
        <w:t xml:space="preserve"> (RiskEvent → Location, declared functional because every event occurs in one place). Everything else, including impact score, severity band, risk category, dates and provenance, is modelled as one of 19 data properties rather than as additional classes. The five risk types and the 63 vocabulary terms are added as named individuals. The ontology is generated with RDFLib [22] and serialised both as Turtle and as RDF/XML that opens directly in Protégé for browsing and HermiT reasoning.</w:t>
      </w:r>
    </w:p>
    <w:p>
      <w:pPr>
        <w:keepNext/>
        <w:spacing w:after="0" w:before="120"/>
        <w:jc w:val="center"/>
      </w:pPr>
      <w:r>
        <w:drawing>
          <wp:inline distT="0" distB="0" distL="0" distR="0">
            <wp:extent cx="3143250" cy="13525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352550"/>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OntoRisk ontology. Solid edges are the two object properties; dashed edges are data properties that reference other classes by value.</w:t>
      </w:r>
    </w:p>
    <w:p>
      <w:pPr>
        <w:keepNext/>
        <w:spacing w:after="0" w:before="16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Ontology Classes</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1389"/>
        <w:gridCol w:w="3573"/>
      </w:tblGrid>
      <w:tr>
        <w:trPr>
          <w:cantSplit/>
          <w:tblHeader/>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Class</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Meaning</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RiskEvent</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A business-risk occurrence detected in text</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Entity</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An organisation affected by a risk event</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Location</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City, port, state or country of the event</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RiskType</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Weather, logistics, policy, supplier or reputational</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SourceArticle</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The news article an event came from (provenance)</w:t>
            </w:r>
          </w:p>
        </w:tc>
      </w:tr>
      <w:tr>
        <w:trPr>
          <w:cantSplit/>
          <w:tblHeader w:val="off"/>
        </w:trPr>
        <w:tc>
          <w:tcPr>
            <w:tcW w:type="dxa" w:w="13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RiskTerm</w:t>
            </w:r>
          </w:p>
        </w:tc>
        <w:tc>
          <w:tcPr>
            <w:tcW w:type="dxa" w:w="35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A vocabulary keyword that signals a risk type</w:t>
            </w:r>
          </w:p>
        </w:tc>
      </w:tr>
    </w:tbl>
    <w:p>
      <w:pPr>
        <w:spacing w:after="120"/>
      </w:pPr>
    </w:p>
    <w:p>
      <w:pPr>
        <w:pStyle w:val="Heading2"/>
        <w:keepNext/>
        <w:spacing w:after="60" w:before="120"/>
      </w:pPr>
      <w:r>
        <w:rPr>
          <w:rFonts w:ascii="Times New Roman" w:cs="Times New Roman" w:eastAsia="Times New Roman" w:hAnsi="Times New Roman"/>
          <w:i/>
          <w:iCs/>
          <w:sz w:val="20"/>
          <w:szCs w:val="20"/>
        </w:rPr>
        <w:t xml:space="preserve">E. Semantic Validation with SPARQL</w:t>
      </w:r>
    </w:p>
    <w:p>
      <w:pPr>
        <w:spacing w:after="0" w:line="230"/>
        <w:ind w:firstLine="202"/>
        <w:jc w:val="both"/>
      </w:pPr>
      <w:r>
        <w:rPr>
          <w:rFonts w:ascii="Times New Roman" w:cs="Times New Roman" w:eastAsia="Times New Roman" w:hAnsi="Times New Roman"/>
          <w:sz w:val="20"/>
          <w:szCs w:val="20"/>
        </w:rPr>
        <w:t xml:space="preserve">After triple generation, six SPARQL queries act as integrity tests on the knowledge graph [8]: the ontology must declare exactly six classes and two object properties; every RiskEvent must have a location and an affected entity; no </w:t>
      </w:r>
      <w:r>
        <w:rPr>
          <w:rFonts w:ascii="Courier New" w:cs="Courier New" w:eastAsia="Courier New" w:hAnsi="Courier New"/>
          <w:sz w:val="18"/>
          <w:szCs w:val="18"/>
        </w:rPr>
        <w:t xml:space="preserve">affects</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locatedIn</w:t>
      </w:r>
      <w:r>
        <w:rPr>
          <w:rFonts w:ascii="Times New Roman" w:cs="Times New Roman" w:eastAsia="Times New Roman" w:hAnsi="Times New Roman"/>
          <w:sz w:val="20"/>
          <w:szCs w:val="20"/>
        </w:rPr>
        <w:t xml:space="preserve"> triple may violate its declared domain or range; and each of the five risk types must have events. The pipeline fails loudly if any check does not hold.</w:t>
      </w:r>
    </w:p>
    <w:p>
      <w:pPr>
        <w:pStyle w:val="Heading2"/>
        <w:keepNext/>
        <w:spacing w:after="60" w:before="120"/>
      </w:pPr>
      <w:r>
        <w:rPr>
          <w:rFonts w:ascii="Times New Roman" w:cs="Times New Roman" w:eastAsia="Times New Roman" w:hAnsi="Times New Roman"/>
          <w:i/>
          <w:iCs/>
          <w:sz w:val="20"/>
          <w:szCs w:val="20"/>
        </w:rPr>
        <w:t xml:space="preserve">F. ETL and the Hybrid Warehouse</w:t>
      </w:r>
    </w:p>
    <w:p>
      <w:pPr>
        <w:spacing w:after="0" w:line="230"/>
        <w:ind w:firstLine="202"/>
        <w:jc w:val="both"/>
      </w:pPr>
      <w:r>
        <w:rPr>
          <w:rFonts w:ascii="Times New Roman" w:cs="Times New Roman" w:eastAsia="Times New Roman" w:hAnsi="Times New Roman"/>
          <w:sz w:val="20"/>
          <w:szCs w:val="20"/>
        </w:rPr>
        <w:t xml:space="preserve">Articles pass through a Pandas [23] ETL stage that removes empty texts, duplicate identifiers, duplicate texts and unparseable dates, and normalises whitespace. Events are then loaded into a DuckDB [13] star schema (Fig. 3) following Kimball’s dimensional model [4]: a fact table </w:t>
      </w:r>
      <w:r>
        <w:rPr>
          <w:rFonts w:ascii="Courier New" w:cs="Courier New" w:eastAsia="Courier New" w:hAnsi="Courier New"/>
          <w:sz w:val="18"/>
          <w:szCs w:val="18"/>
        </w:rPr>
        <w:t xml:space="preserve">FACT_RISKEVENT</w:t>
      </w:r>
      <w:r>
        <w:rPr>
          <w:rFonts w:ascii="Times New Roman" w:cs="Times New Roman" w:eastAsia="Times New Roman" w:hAnsi="Times New Roman"/>
          <w:sz w:val="20"/>
          <w:szCs w:val="20"/>
        </w:rPr>
        <w:t xml:space="preserve"> with the measures impact score, severity and mention count, and three dimensions — time (date, week, month, quarter, year), location (place, region, state, country) and risk type (category, sub-type). Entity name, sector and source identifier are kept as </w:t>
      </w:r>
      <w:r>
        <w:rPr>
          <w:rFonts w:ascii="Times New Roman" w:cs="Times New Roman" w:eastAsia="Times New Roman" w:hAnsi="Times New Roman"/>
          <w:i/>
          <w:iCs/>
          <w:sz w:val="20"/>
          <w:szCs w:val="20"/>
        </w:rPr>
        <w:t xml:space="preserve">degenerate</w:t>
      </w:r>
      <w:r>
        <w:rPr>
          <w:rFonts w:ascii="Times New Roman" w:cs="Times New Roman" w:eastAsia="Times New Roman" w:hAnsi="Times New Roman"/>
          <w:sz w:val="20"/>
          <w:szCs w:val="20"/>
        </w:rPr>
        <w:t xml:space="preserve"> attributes on the fact row.</w:t>
      </w:r>
    </w:p>
    <w:p>
      <w:pPr>
        <w:keepNext/>
        <w:spacing w:after="0" w:before="120"/>
        <w:jc w:val="center"/>
      </w:pPr>
      <w:r>
        <w:drawing>
          <wp:inline distT="0" distB="0" distL="0" distR="0">
            <wp:extent cx="3143250" cy="12668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266825"/>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Star schema of the hybrid warehouse. The dashed link is the semantic bridge that stores every RDF triple of an event under the event’s identifier.</w:t>
      </w:r>
    </w:p>
    <w:p>
      <w:pPr>
        <w:spacing w:after="0" w:line="230"/>
        <w:ind w:firstLine="202"/>
        <w:jc w:val="both"/>
      </w:pPr>
      <w:r>
        <w:rPr>
          <w:rFonts w:ascii="Times New Roman" w:cs="Times New Roman" w:eastAsia="Times New Roman" w:hAnsi="Times New Roman"/>
          <w:sz w:val="20"/>
          <w:szCs w:val="20"/>
        </w:rPr>
        <w:t xml:space="preserve">The semantic side of the warehouse is the table </w:t>
      </w:r>
      <w:r>
        <w:rPr>
          <w:rFonts w:ascii="Courier New" w:cs="Courier New" w:eastAsia="Courier New" w:hAnsi="Courier New"/>
          <w:sz w:val="18"/>
          <w:szCs w:val="18"/>
        </w:rPr>
        <w:t xml:space="preserve">BRIDGE_SEMANTIC_LINK</w:t>
      </w:r>
      <w:r>
        <w:rPr>
          <w:rFonts w:ascii="Times New Roman" w:cs="Times New Roman" w:eastAsia="Times New Roman" w:hAnsi="Times New Roman"/>
          <w:sz w:val="20"/>
          <w:szCs w:val="20"/>
        </w:rPr>
        <w:t xml:space="preserve"> (event_id, subject, predicate, object), which stores every triple produced for an event. Because the same identifier appears as the </w:t>
      </w:r>
      <w:r>
        <w:rPr>
          <w:rFonts w:ascii="Courier New" w:cs="Courier New" w:eastAsia="Courier New" w:hAnsi="Courier New"/>
          <w:sz w:val="18"/>
          <w:szCs w:val="18"/>
        </w:rPr>
        <w:t xml:space="preserve">eventId</w:t>
      </w:r>
      <w:r>
        <w:rPr>
          <w:rFonts w:ascii="Times New Roman" w:cs="Times New Roman" w:eastAsia="Times New Roman" w:hAnsi="Times New Roman"/>
          <w:sz w:val="20"/>
          <w:szCs w:val="20"/>
        </w:rPr>
        <w:t xml:space="preserve"> data property in the graph, a SQL query can jump from a fact row to its triples and a SPARQL result can jump back to the fact row. After loading, referential checks confirm that no fact row has an orphan dimension key, a missing measure or no triples.</w:t>
      </w:r>
    </w:p>
    <w:p>
      <w:pPr>
        <w:pStyle w:val="Heading2"/>
        <w:keepNext/>
        <w:spacing w:after="60" w:before="120"/>
      </w:pPr>
      <w:r>
        <w:rPr>
          <w:rFonts w:ascii="Times New Roman" w:cs="Times New Roman" w:eastAsia="Times New Roman" w:hAnsi="Times New Roman"/>
          <w:i/>
          <w:iCs/>
          <w:sz w:val="20"/>
          <w:szCs w:val="20"/>
        </w:rPr>
        <w:t xml:space="preserve">G. Association-Rule Mining</w:t>
      </w:r>
    </w:p>
    <w:p>
      <w:pPr>
        <w:spacing w:after="0" w:line="230"/>
        <w:ind w:firstLine="202"/>
        <w:jc w:val="both"/>
      </w:pPr>
      <w:r>
        <w:rPr>
          <w:rFonts w:ascii="Times New Roman" w:cs="Times New Roman" w:eastAsia="Times New Roman" w:hAnsi="Times New Roman"/>
          <w:sz w:val="20"/>
          <w:szCs w:val="20"/>
        </w:rPr>
        <w:t xml:space="preserve">Each risk event becomes a transaction of items </w:t>
      </w:r>
      <w:r>
        <w:rPr>
          <w:rFonts w:ascii="Courier New" w:cs="Courier New" w:eastAsia="Courier New" w:hAnsi="Courier New"/>
          <w:sz w:val="18"/>
          <w:szCs w:val="18"/>
        </w:rPr>
        <w:t xml:space="preserve">risktype=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region=</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sector=</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severity=</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plus </w:t>
      </w:r>
      <w:r>
        <w:rPr>
          <w:rFonts w:ascii="Courier New" w:cs="Courier New" w:eastAsia="Courier New" w:hAnsi="Courier New"/>
          <w:sz w:val="18"/>
          <w:szCs w:val="18"/>
        </w:rPr>
        <w:t xml:space="preserve">co_risk=</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every other risk type reported in the same article; this last item allows cross-risk rules such as weather ⇒ logistics to surface. Frequent itemsets are mined with FP-Growth [19] as implemented in mlxtend [24], and Apriori [18] is run as a cross-check. For a rule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over the transaction set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supp(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conf(</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supp(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supp(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lift(</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conf(</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supp(</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spacing w:after="0" w:line="230"/>
        <w:ind w:firstLine="0"/>
        <w:jc w:val="both"/>
      </w:pPr>
      <w:r>
        <w:rPr>
          <w:rFonts w:ascii="Times New Roman" w:cs="Times New Roman" w:eastAsia="Times New Roman" w:hAnsi="Times New Roman"/>
          <w:sz w:val="20"/>
          <w:szCs w:val="20"/>
        </w:rPr>
        <w:t xml:space="preserve">Rules are kept when support ≥ 0.05, confidence ≥ 0.60 and lift ≥ 1.10 and are ranked by lift. In the dashboard the rules are re-mined for whatever region, period and risk-type slice is selected (with at least 25 events), so the rule table always describes the data in view.</w:t>
      </w:r>
    </w:p>
    <w:p>
      <w:pPr>
        <w:pStyle w:val="Heading2"/>
        <w:keepNext/>
        <w:spacing w:after="60" w:before="120"/>
      </w:pPr>
      <w:r>
        <w:rPr>
          <w:rFonts w:ascii="Times New Roman" w:cs="Times New Roman" w:eastAsia="Times New Roman" w:hAnsi="Times New Roman"/>
          <w:i/>
          <w:iCs/>
          <w:sz w:val="20"/>
          <w:szCs w:val="20"/>
        </w:rPr>
        <w:t xml:space="preserve">H. k-Means Clustering</w:t>
      </w:r>
    </w:p>
    <w:p>
      <w:pPr>
        <w:spacing w:after="0" w:line="230"/>
        <w:ind w:firstLine="202"/>
        <w:jc w:val="both"/>
      </w:pPr>
      <w:r>
        <w:rPr>
          <w:rFonts w:ascii="Times New Roman" w:cs="Times New Roman" w:eastAsia="Times New Roman" w:hAnsi="Times New Roman"/>
          <w:sz w:val="20"/>
          <w:szCs w:val="20"/>
        </w:rPr>
        <w:t xml:space="preserve">Each event is described by ten standardised features: impact score, mention count, the month encoded as sine and cosine (so that December is adjacent to January), a monsoon-season flag and a one-hot encoding of the five risk types. k-Means [20] minimises the within-cluster sum of squares</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x∈C(k)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μ</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‖²</w:t>
      </w:r>
      <w:r>
        <w:rPr>
          <w:rFonts w:ascii="Times New Roman" w:cs="Times New Roman" w:eastAsia="Times New Roman" w:hAnsi="Times New Roman"/>
          <w:sz w:val="20"/>
          <w:szCs w:val="20"/>
        </w:rPr>
        <w:t xml:space="preserve">	(5)</w:t>
      </w:r>
    </w:p>
    <w:p>
      <w:pPr>
        <w:spacing w:after="0" w:line="230"/>
        <w:ind w:firstLine="0"/>
        <w:jc w:val="both"/>
      </w:pPr>
      <w:r>
        <w:rPr>
          <w:rFonts w:ascii="Times New Roman" w:cs="Times New Roman" w:eastAsia="Times New Roman" w:hAnsi="Times New Roman"/>
          <w:sz w:val="20"/>
          <w:szCs w:val="20"/>
        </w:rPr>
        <w:t xml:space="preserve">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2…10 using scikit-learn [25]. The number of clusters is chosen at the knee of the inertia curve (the point of maximum distance from the chord joining its ends, in the spirit of Kneedle [26]) and validated with the mean silhouette coefficient [21]</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max{</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spacing w:after="0" w:line="230"/>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 the mean distance of event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to its own cluster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to the nearest other cluster. PCA [27] projects the vectors to two dimensions for the scatter plot, and each cluster is labelled automatically from its mean impact, dominant risk type and monsoon share.</w:t>
      </w:r>
    </w:p>
    <w:p>
      <w:pPr>
        <w:pStyle w:val="Heading2"/>
        <w:keepNext/>
        <w:spacing w:after="60" w:before="120"/>
      </w:pPr>
      <w:r>
        <w:rPr>
          <w:rFonts w:ascii="Times New Roman" w:cs="Times New Roman" w:eastAsia="Times New Roman" w:hAnsi="Times New Roman"/>
          <w:i/>
          <w:iCs/>
          <w:sz w:val="20"/>
          <w:szCs w:val="20"/>
        </w:rPr>
        <w:t xml:space="preserve">I. Interactive Dashboard</w:t>
      </w:r>
    </w:p>
    <w:p>
      <w:pPr>
        <w:spacing w:after="0" w:line="230"/>
        <w:ind w:firstLine="202"/>
        <w:jc w:val="both"/>
      </w:pPr>
      <w:r>
        <w:rPr>
          <w:rFonts w:ascii="Times New Roman" w:cs="Times New Roman" w:eastAsia="Times New Roman" w:hAnsi="Times New Roman"/>
          <w:sz w:val="20"/>
          <w:szCs w:val="20"/>
        </w:rPr>
        <w:t xml:space="preserve">The dashboard, built with Streamlit [28] and Plotly [29], has five pages reachable from a sidebar: </w:t>
      </w:r>
      <w:r>
        <w:rPr>
          <w:rFonts w:ascii="Times New Roman" w:cs="Times New Roman" w:eastAsia="Times New Roman" w:hAnsi="Times New Roman"/>
          <w:i/>
          <w:iCs/>
          <w:sz w:val="20"/>
          <w:szCs w:val="20"/>
        </w:rPr>
        <w:t xml:space="preserve">Overview</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Association rules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Clusters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Knowledge graph</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Event log</w:t>
      </w:r>
      <w:r>
        <w:rPr>
          <w:rFonts w:ascii="Times New Roman" w:cs="Times New Roman" w:eastAsia="Times New Roman" w:hAnsi="Times New Roman"/>
          <w:sz w:val="20"/>
          <w:szCs w:val="20"/>
        </w:rPr>
        <w:t xml:space="preserve">. Sidebar filters (region, time period, risk type, and rule-mining thresholds) and a global search box over entities, places and sectors apply to every page. Four KPIs summarise the selection: the Risk Exposure Index, the average impact score, the number of events in view and the confidence of the strongest rule, where</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REI = Σ</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(sev</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{1, 2, 3}</w:t>
      </w:r>
      <w:r>
        <w:rPr>
          <w:rFonts w:ascii="Times New Roman" w:cs="Times New Roman" w:eastAsia="Times New Roman" w:hAnsi="Times New Roman"/>
          <w:sz w:val="20"/>
          <w:szCs w:val="20"/>
        </w:rPr>
        <w:t xml:space="preserve">	(7)</w:t>
      </w:r>
    </w:p>
    <w:p>
      <w:pPr>
        <w:spacing w:after="0" w:line="230"/>
        <w:ind w:firstLine="0"/>
        <w:jc w:val="both"/>
      </w:pPr>
      <w:r>
        <w:rPr>
          <w:rFonts w:ascii="Times New Roman" w:cs="Times New Roman" w:eastAsia="Times New Roman" w:hAnsi="Times New Roman"/>
          <w:sz w:val="20"/>
          <w:szCs w:val="20"/>
        </w:rPr>
        <w:t xml:space="preserve">for Low, Medium and High severity. The data layer behind the dashboard is a set of pure functions that are unit-tested independently of the user interface.</w:t>
      </w:r>
    </w:p>
    <w:p>
      <w:pPr>
        <w:pStyle w:val="Heading1"/>
        <w:keepNext/>
        <w:spacing w:after="100" w:before="200"/>
        <w:jc w:val="center"/>
      </w:pPr>
      <w:r>
        <w:rPr>
          <w:rFonts w:ascii="Times New Roman" w:cs="Times New Roman" w:eastAsia="Times New Roman" w:hAnsi="Times New Roman"/>
          <w:smallCaps/>
          <w:sz w:val="20"/>
          <w:szCs w:val="20"/>
        </w:rPr>
        <w:t xml:space="preserve">V. Implementation</w:t>
      </w:r>
    </w:p>
    <w:p>
      <w:pPr>
        <w:spacing w:after="0" w:line="230"/>
        <w:ind w:firstLine="202"/>
        <w:jc w:val="both"/>
      </w:pPr>
      <w:r>
        <w:rPr>
          <w:rFonts w:ascii="Times New Roman" w:cs="Times New Roman" w:eastAsia="Times New Roman" w:hAnsi="Times New Roman"/>
          <w:sz w:val="20"/>
          <w:szCs w:val="20"/>
        </w:rPr>
        <w:t xml:space="preserve">The system is written in Python 3.13. Table III lists the main libraries and their role. The code base is organised as one module per stage under </w:t>
      </w:r>
      <w:r>
        <w:rPr>
          <w:rFonts w:ascii="Courier New" w:cs="Courier New" w:eastAsia="Courier New" w:hAnsi="Courier New"/>
          <w:sz w:val="18"/>
          <w:szCs w:val="18"/>
        </w:rPr>
        <w:t xml:space="preserve">src/ontorisk/</w:t>
      </w:r>
      <w:r>
        <w:rPr>
          <w:rFonts w:ascii="Times New Roman" w:cs="Times New Roman" w:eastAsia="Times New Roman" w:hAnsi="Times New Roman"/>
          <w:sz w:val="20"/>
          <w:szCs w:val="20"/>
        </w:rPr>
        <w:t xml:space="preserve">, the dashboard under </w:t>
      </w:r>
      <w:r>
        <w:rPr>
          <w:rFonts w:ascii="Courier New" w:cs="Courier New" w:eastAsia="Courier New" w:hAnsi="Courier New"/>
          <w:sz w:val="18"/>
          <w:szCs w:val="18"/>
        </w:rPr>
        <w:t xml:space="preserve">dashboard/</w:t>
      </w:r>
      <w:r>
        <w:rPr>
          <w:rFonts w:ascii="Times New Roman" w:cs="Times New Roman" w:eastAsia="Times New Roman" w:hAnsi="Times New Roman"/>
          <w:sz w:val="20"/>
          <w:szCs w:val="20"/>
        </w:rPr>
        <w:t xml:space="preserve">, and 17 pytest tests that cover every stage, including a headless run of the whole dashboard with Streamlit’s AppTest harness. If spaCy or DuckDB is unavailable, the code falls back to a rule-based recogniser and to SQLite with an identical schema, and records which back-end was used in </w:t>
      </w:r>
      <w:r>
        <w:rPr>
          <w:rFonts w:ascii="Courier New" w:cs="Courier New" w:eastAsia="Courier New" w:hAnsi="Courier New"/>
          <w:sz w:val="18"/>
          <w:szCs w:val="18"/>
        </w:rPr>
        <w:t xml:space="preserve">outputs/metrics.json</w:t>
      </w:r>
      <w:r>
        <w:rPr>
          <w:rFonts w:ascii="Times New Roman" w:cs="Times New Roman" w:eastAsia="Times New Roman" w:hAnsi="Times New Roman"/>
          <w:sz w:val="20"/>
          <w:szCs w:val="20"/>
        </w:rPr>
        <w:t xml:space="preserve">.</w:t>
      </w:r>
    </w:p>
    <w:p>
      <w:pPr>
        <w:keepNext/>
        <w:spacing w:after="0" w:before="16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Technology Stack</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1091"/>
        <w:gridCol w:w="1984"/>
        <w:gridCol w:w="1887"/>
      </w:tblGrid>
      <w:tr>
        <w:trPr>
          <w:cantSplit/>
          <w:tblHeader/>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Layer</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Technology</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Role</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NLP</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spaCy 3.8, en_core_web_sm</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Tokens, lemmas, NER, PhraseMatcher</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Semantic</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RDFLib 7, OWL 2, SPARQL 1.1</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Ontology, triples, validation</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ETL</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pandas 3</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Cleaning and quality checks</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Warehouse</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DuckDB 2.0</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Star schema, OLAP queries</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Mining</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mlxtend 0.25, scikit-learn 1.9</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FP-Growth, Apriori, k-Means, PCA</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Presentation</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Streamlit 1.66, Plotly</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Dashboard and charts</w:t>
            </w:r>
          </w:p>
        </w:tc>
      </w:tr>
      <w:tr>
        <w:trPr>
          <w:cantSplit/>
          <w:tblHeader w:val="off"/>
        </w:trPr>
        <w:tc>
          <w:tcPr>
            <w:tcW w:type="dxa" w:w="109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Quality</w:t>
            </w:r>
          </w:p>
        </w:tc>
        <w:tc>
          <w:tcPr>
            <w:tcW w:type="dxa" w:w="198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pytest, Git/GitHub</w:t>
            </w:r>
          </w:p>
        </w:tc>
        <w:tc>
          <w:tcPr>
            <w:tcW w:type="dxa" w:w="18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Tests, versioning, deployment</w:t>
            </w:r>
          </w:p>
        </w:tc>
      </w:tr>
    </w:tbl>
    <w:p>
      <w:pPr>
        <w:spacing w:after="120"/>
      </w:pPr>
    </w:p>
    <w:p>
      <w:pPr>
        <w:spacing w:after="0" w:line="230"/>
        <w:ind w:firstLine="202"/>
        <w:jc w:val="both"/>
      </w:pPr>
      <w:r>
        <w:rPr>
          <w:rFonts w:ascii="Times New Roman" w:cs="Times New Roman" w:eastAsia="Times New Roman" w:hAnsi="Times New Roman"/>
          <w:sz w:val="20"/>
          <w:szCs w:val="20"/>
        </w:rPr>
        <w:t xml:space="preserve">The complete pipeline runs end to end in 29.3 s on a laptop. The dashboard is deployed on Streamlit Community Cloud directly from the project’s GitHub repository; because the built warehouse and mining outputs are versioned, the deployed application does not need to re-run the pipeline.</w:t>
      </w:r>
    </w:p>
    <w:p>
      <w:pPr>
        <w:pStyle w:val="Heading1"/>
        <w:keepNext/>
        <w:spacing w:after="100" w:before="200"/>
        <w:jc w:val="center"/>
      </w:pPr>
      <w:r>
        <w:rPr>
          <w:rFonts w:ascii="Times New Roman" w:cs="Times New Roman" w:eastAsia="Times New Roman" w:hAnsi="Times New Roman"/>
          <w:smallCaps/>
          <w:sz w:val="20"/>
          <w:szCs w:val="20"/>
        </w:rPr>
        <w:t xml:space="preserve">VI. Results and Discussion</w:t>
      </w:r>
    </w:p>
    <w:p>
      <w:pPr>
        <w:pStyle w:val="Heading2"/>
        <w:keepNext/>
        <w:spacing w:after="60" w:before="120"/>
      </w:pPr>
      <w:r>
        <w:rPr>
          <w:rFonts w:ascii="Times New Roman" w:cs="Times New Roman" w:eastAsia="Times New Roman" w:hAnsi="Times New Roman"/>
          <w:i/>
          <w:iCs/>
          <w:sz w:val="20"/>
          <w:szCs w:val="20"/>
        </w:rPr>
        <w:t xml:space="preserve">A. Data Quality and NER</w:t>
      </w:r>
    </w:p>
    <w:p>
      <w:pPr>
        <w:spacing w:after="0" w:line="230"/>
        <w:ind w:firstLine="202"/>
        <w:jc w:val="both"/>
      </w:pPr>
      <w:r>
        <w:rPr>
          <w:rFonts w:ascii="Times New Roman" w:cs="Times New Roman" w:eastAsia="Times New Roman" w:hAnsi="Times New Roman"/>
          <w:sz w:val="20"/>
          <w:szCs w:val="20"/>
        </w:rPr>
        <w:t xml:space="preserve">Of 243 raw records, the ETL stage rejected one empty text, one duplicate identifier and one unparseable date, leaving 240 clean articles (Table IV). NER and vocabulary tagging found 503 location, 399 organisation, 256 date and 432 risk-term mentions (1,590 in total), covering 32 distinct organisations and 39 distinct places.</w:t>
      </w:r>
    </w:p>
    <w:p>
      <w:pPr>
        <w:keepNext/>
        <w:spacing w:after="0" w:before="16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ETL Data-Quality Report</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3473"/>
        <w:gridCol w:w="1489"/>
      </w:tblGrid>
      <w:tr>
        <w:trPr>
          <w:cantSplit/>
          <w:tblHeader/>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Check</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Records</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Raw records read</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243</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Rejected: empty text</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Rejected: duplicate id</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Rejected: duplicate text</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Rejected: invalid date</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Clean articles loaded</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240</w:t>
            </w:r>
          </w:p>
        </w:tc>
      </w:tr>
    </w:tbl>
    <w:p>
      <w:pPr>
        <w:spacing w:after="120"/>
      </w:pPr>
    </w:p>
    <w:p>
      <w:pPr>
        <w:pStyle w:val="Heading2"/>
        <w:keepNext/>
        <w:spacing w:after="60" w:before="120"/>
      </w:pPr>
      <w:r>
        <w:rPr>
          <w:rFonts w:ascii="Times New Roman" w:cs="Times New Roman" w:eastAsia="Times New Roman" w:hAnsi="Times New Roman"/>
          <w:i/>
          <w:iCs/>
          <w:sz w:val="20"/>
          <w:szCs w:val="20"/>
        </w:rPr>
        <w:t xml:space="preserve">B. Extraction Quality</w:t>
      </w:r>
    </w:p>
    <w:p>
      <w:pPr>
        <w:spacing w:after="0" w:line="230"/>
        <w:ind w:firstLine="202"/>
        <w:jc w:val="both"/>
      </w:pPr>
      <w:r>
        <w:rPr>
          <w:rFonts w:ascii="Times New Roman" w:cs="Times New Roman" w:eastAsia="Times New Roman" w:hAnsi="Times New Roman"/>
          <w:sz w:val="20"/>
          <w:szCs w:val="20"/>
        </w:rPr>
        <w:t xml:space="preserve">Against the gold standard, the co-occurrence rule produced 387 events, of which 280 were correct, and recovered 275 of the 297 true events (Table V). Precision is 72.4%, recall 92.6% and F1 81.2%, where</w:t>
      </w:r>
    </w:p>
    <w:p>
      <w:pPr>
        <w:keepLines/>
        <w:tabs>
          <w:tab w:val="center" w:pos="2481"/>
          <w:tab w:val="right" w:pos="4952"/>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FP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FN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PR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(8)</w:t>
      </w:r>
    </w:p>
    <w:p>
      <w:pPr>
        <w:spacing w:after="0" w:line="230"/>
        <w:ind w:firstLine="0"/>
        <w:jc w:val="both"/>
      </w:pPr>
      <w:r>
        <w:rPr>
          <w:rFonts w:ascii="Times New Roman" w:cs="Times New Roman" w:eastAsia="Times New Roman" w:hAnsi="Times New Roman"/>
          <w:sz w:val="20"/>
          <w:szCs w:val="20"/>
        </w:rPr>
        <w:t xml:space="preserve">The high recall and moderate precision are exactly what a co-occurrence rule is expected to deliver: it rarely misses an event but also links organisations to incidental places or risks mentioned in the same paragraph. Precision is highest for logistics (83.2%) and supplier (82.8%) risks, whose vocabulary is specific, and lowest for weather (60.5%) and policy (62.2%), where words such as </w:t>
      </w:r>
      <w:r>
        <w:rPr>
          <w:rFonts w:ascii="Times New Roman" w:cs="Times New Roman" w:eastAsia="Times New Roman" w:hAnsi="Times New Roman"/>
          <w:i/>
          <w:iCs/>
          <w:sz w:val="20"/>
          <w:szCs w:val="20"/>
        </w:rPr>
        <w:t xml:space="preserve">monsoon</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GST</w:t>
      </w:r>
      <w:r>
        <w:rPr>
          <w:rFonts w:ascii="Times New Roman" w:cs="Times New Roman" w:eastAsia="Times New Roman" w:hAnsi="Times New Roman"/>
          <w:sz w:val="20"/>
          <w:szCs w:val="20"/>
        </w:rPr>
        <w:t xml:space="preserve"> often appear as background context. A random sample of 50 triples was also prepared for manual review, giving a sample precision of 74%, consistent with the automatic figure.</w:t>
      </w:r>
    </w:p>
    <w:p>
      <w:pPr>
        <w:keepNext/>
        <w:spacing w:after="0" w:before="16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Extraction Quality Against Ground Truth</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3374"/>
        <w:gridCol w:w="1588"/>
      </w:tblGrid>
      <w:tr>
        <w:trPr>
          <w:cantSplit/>
          <w:tblHeader/>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Metric</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Value</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Predicted events</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387</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Correct events (TP)</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280</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Gold events / found</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297 / 275</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Precision</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72.4%</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Recall</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92.6%</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F1 score</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81.2%</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Precision: logistics / supplier</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83.2% / 82.8%</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Precision: reputational</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70.0%</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Precision: policy / weather</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62.2% / 60.5%</w:t>
            </w:r>
          </w:p>
        </w:tc>
      </w:tr>
      <w:tr>
        <w:trPr>
          <w:cantSplit/>
          <w:tblHeader w:val="off"/>
        </w:trPr>
        <w:tc>
          <w:tcPr>
            <w:tcW w:type="dxa" w:w="337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Manual sample precision (n = 50)</w:t>
            </w:r>
          </w:p>
        </w:tc>
        <w:tc>
          <w:tcPr>
            <w:tcW w:type="dxa" w:w="1588"/>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74%</w:t>
            </w:r>
          </w:p>
        </w:tc>
      </w:tr>
    </w:tbl>
    <w:p>
      <w:pPr>
        <w:spacing w:after="120"/>
      </w:pPr>
    </w:p>
    <w:p>
      <w:pPr>
        <w:pStyle w:val="Heading2"/>
        <w:keepNext/>
        <w:spacing w:after="60" w:before="120"/>
      </w:pPr>
      <w:r>
        <w:rPr>
          <w:rFonts w:ascii="Times New Roman" w:cs="Times New Roman" w:eastAsia="Times New Roman" w:hAnsi="Times New Roman"/>
          <w:i/>
          <w:iCs/>
          <w:sz w:val="20"/>
          <w:szCs w:val="20"/>
        </w:rPr>
        <w:t xml:space="preserve">C. Knowledge Graph and Warehouse Integrity</w:t>
      </w:r>
    </w:p>
    <w:p>
      <w:pPr>
        <w:spacing w:after="0" w:line="230"/>
        <w:ind w:firstLine="202"/>
        <w:jc w:val="both"/>
      </w:pPr>
      <w:r>
        <w:rPr>
          <w:rFonts w:ascii="Times New Roman" w:cs="Times New Roman" w:eastAsia="Times New Roman" w:hAnsi="Times New Roman"/>
          <w:sz w:val="20"/>
          <w:szCs w:val="20"/>
        </w:rPr>
        <w:t xml:space="preserve">The knowledge graph contains 6,068 triples, 5,605 of them generated instance (A-Box) triples. All six SPARQL validation queries pass (Table VI). The warehouse holds 387 fact rows, 183 time members, 32 locations, 5 risk types and 1,935 bridge rows (Table VII); referential checks report zero orphan keys, zero null measures and zero facts without triples, so the semantic and dimensional views are fully consistent.</w:t>
      </w:r>
    </w:p>
    <w:p>
      <w:pPr>
        <w:keepNext/>
        <w:spacing w:after="0" w:before="16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SPARQL Validation Checks</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2481"/>
        <w:gridCol w:w="1637"/>
        <w:gridCol w:w="844"/>
      </w:tblGrid>
      <w:tr>
        <w:trPr>
          <w:cantSplit/>
          <w:tblHeader/>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Check</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Result</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Status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Ontology declares six classes</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6</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Pass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Exactly two object properties</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2</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Pass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Events without a location</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0</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Pass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Events without an affected entity</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0</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Pass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Domain / range violations</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0</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Pass</w:t>
            </w:r>
          </w:p>
        </w:tc>
      </w:tr>
      <w:tr>
        <w:trPr>
          <w:cantSplit/>
          <w:tblHeader w:val="off"/>
        </w:trPr>
        <w:tc>
          <w:tcPr>
            <w:tcW w:type="dxa" w:w="2481"/>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Events per risk type</w:t>
            </w:r>
          </w:p>
        </w:tc>
        <w:tc>
          <w:tcPr>
            <w:tcW w:type="dxa" w:w="163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center"/>
            </w:pPr>
            <w:r>
              <w:rPr>
                <w:rFonts w:ascii="Times New Roman" w:cs="Times New Roman" w:eastAsia="Times New Roman" w:hAnsi="Times New Roman"/>
                <w:b w:val="false"/>
                <w:bCs w:val="false"/>
                <w:sz w:val="16"/>
                <w:szCs w:val="16"/>
              </w:rPr>
              <w:t xml:space="preserve">113 / 86 / 74 / 64 / 50</w:t>
            </w:r>
          </w:p>
        </w:tc>
        <w:tc>
          <w:tcPr>
            <w:tcW w:type="dxa" w:w="8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center"/>
            </w:pPr>
            <w:r>
              <w:rPr>
                <w:rFonts w:ascii="Times New Roman" w:cs="Times New Roman" w:eastAsia="Times New Roman" w:hAnsi="Times New Roman"/>
                <w:b w:val="false"/>
                <w:bCs w:val="false"/>
                <w:sz w:val="16"/>
                <w:szCs w:val="16"/>
              </w:rPr>
              <w:t xml:space="preserve">Pass</w:t>
            </w:r>
          </w:p>
        </w:tc>
      </w:tr>
    </w:tbl>
    <w:p>
      <w:pPr>
        <w:spacing w:after="120"/>
      </w:pPr>
    </w:p>
    <w:p>
      <w:pPr>
        <w:keepNext/>
        <w:spacing w:after="0" w:before="160"/>
        <w:jc w:val="center"/>
      </w:pPr>
      <w:r>
        <w:rPr>
          <w:rFonts w:ascii="Times New Roman" w:cs="Times New Roman" w:eastAsia="Times New Roman" w:hAnsi="Times New Roman"/>
          <w:smallCaps/>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Warehouse Tables and Integrity</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3473"/>
        <w:gridCol w:w="1489"/>
      </w:tblGrid>
      <w:tr>
        <w:trPr>
          <w:cantSplit/>
          <w:tblHeader/>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Table / check</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Rows</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FACT_RISKEVENT</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387</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DIM_TIME</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183</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DIM_LOCATION</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32</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DIM_RISKTYPE</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5</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BRIDGE_SEMANTIC_LINK</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1,935</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STG_ARTICLES (staging)</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240</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Orphan keys / null measures</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 / 0</w:t>
            </w:r>
          </w:p>
        </w:tc>
      </w:tr>
      <w:tr>
        <w:trPr>
          <w:cantSplit/>
          <w:tblHeader w:val="off"/>
        </w:trPr>
        <w:tc>
          <w:tcPr>
            <w:tcW w:type="dxa" w:w="3473"/>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Facts without triples</w:t>
            </w:r>
          </w:p>
        </w:tc>
        <w:tc>
          <w:tcPr>
            <w:tcW w:type="dxa" w:w="1489"/>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0</w:t>
            </w:r>
          </w:p>
        </w:tc>
      </w:tr>
    </w:tbl>
    <w:p>
      <w:pPr>
        <w:spacing w:after="120"/>
      </w:pPr>
    </w:p>
    <w:p>
      <w:pPr>
        <w:pStyle w:val="Heading2"/>
        <w:keepNext/>
        <w:spacing w:after="60" w:before="120"/>
      </w:pPr>
      <w:r>
        <w:rPr>
          <w:rFonts w:ascii="Times New Roman" w:cs="Times New Roman" w:eastAsia="Times New Roman" w:hAnsi="Times New Roman"/>
          <w:i/>
          <w:iCs/>
          <w:sz w:val="20"/>
          <w:szCs w:val="20"/>
        </w:rPr>
        <w:t xml:space="preserve">D. Descriptive Analytics</w:t>
      </w:r>
    </w:p>
    <w:p>
      <w:pPr>
        <w:spacing w:after="0" w:line="230"/>
        <w:ind w:firstLine="202"/>
        <w:jc w:val="both"/>
      </w:pPr>
      <w:r>
        <w:rPr>
          <w:rFonts w:ascii="Times New Roman" w:cs="Times New Roman" w:eastAsia="Times New Roman" w:hAnsi="Times New Roman"/>
          <w:sz w:val="20"/>
          <w:szCs w:val="20"/>
        </w:rPr>
        <w:t xml:space="preserve">Logistics is the most frequent risk type (113 events), followed by weather (86), policy (74), supplier (64) and reputational (50). Geographically, the West (121 events) and South (118) dominate, reflecting the port-heavy western and southern coasts, while policy risk is concentrated in the North (Fig. 4). Weather events are the most severe: 62% of them fall in the High band, compared with 12% of reputational events (Fig. 5). Weighting by severity, weather accounts for the largest share of the Risk Exposure Index (31%, 1,822 of 5,802), ahead of logistics (29%).</w:t>
      </w:r>
    </w:p>
    <w:p>
      <w:pPr>
        <w:keepNext/>
        <w:spacing w:after="0" w:before="120"/>
        <w:jc w:val="center"/>
      </w:pPr>
      <w:r>
        <w:drawing>
          <wp:inline distT="0" distB="0" distL="0" distR="0">
            <wp:extent cx="3143250" cy="16573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657350"/>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Risk events by region and risk type (387 events).</w:t>
      </w:r>
    </w:p>
    <w:p>
      <w:pPr>
        <w:keepNext/>
        <w:spacing w:after="0" w:before="120"/>
        <w:jc w:val="center"/>
      </w:pPr>
      <w:r>
        <w:drawing>
          <wp:inline distT="0" distB="0" distL="0" distR="0">
            <wp:extent cx="3143250" cy="1219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219200"/>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Severity mix (Low, Medium, High) within each risk type.</w:t>
      </w:r>
    </w:p>
    <w:p>
      <w:pPr>
        <w:spacing w:after="0" w:line="230"/>
        <w:ind w:firstLine="202"/>
        <w:jc w:val="both"/>
      </w:pPr>
      <w:r>
        <w:rPr>
          <w:rFonts w:ascii="Times New Roman" w:cs="Times New Roman" w:eastAsia="Times New Roman" w:hAnsi="Times New Roman"/>
          <w:sz w:val="20"/>
          <w:szCs w:val="20"/>
        </w:rPr>
        <w:t xml:space="preserve">The seasonal pattern is pronounced (Fig. 6): weather events rise sharply from June and peak in September at the end of the south-west monsoon, and logistics events track them through the same months, a first visual hint of the weather–logistics association that the rule miner later quantifies.</w:t>
      </w:r>
    </w:p>
    <w:p>
      <w:pPr>
        <w:keepNext/>
        <w:spacing w:after="0" w:before="120"/>
        <w:jc w:val="center"/>
      </w:pPr>
      <w:r>
        <w:drawing>
          <wp:inline distT="0" distB="0" distL="0" distR="0">
            <wp:extent cx="3143250" cy="14859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485900"/>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Seasonality: risk events per calendar month over 2024–2025; the shaded band marks the south-west monsoon.</w:t>
      </w:r>
    </w:p>
    <w:p>
      <w:pPr>
        <w:pStyle w:val="Heading2"/>
        <w:keepNext/>
        <w:spacing w:after="60" w:before="120"/>
      </w:pPr>
      <w:r>
        <w:rPr>
          <w:rFonts w:ascii="Times New Roman" w:cs="Times New Roman" w:eastAsia="Times New Roman" w:hAnsi="Times New Roman"/>
          <w:i/>
          <w:iCs/>
          <w:sz w:val="20"/>
          <w:szCs w:val="20"/>
        </w:rPr>
        <w:t xml:space="preserve">E. Association Rules</w:t>
      </w:r>
    </w:p>
    <w:p>
      <w:pPr>
        <w:spacing w:after="0" w:line="230"/>
        <w:ind w:firstLine="202"/>
        <w:jc w:val="both"/>
      </w:pPr>
      <w:r>
        <w:rPr>
          <w:rFonts w:ascii="Times New Roman" w:cs="Times New Roman" w:eastAsia="Times New Roman" w:hAnsi="Times New Roman"/>
          <w:sz w:val="20"/>
          <w:szCs w:val="20"/>
        </w:rPr>
        <w:t xml:space="preserve">FP-Growth found 103 frequent itemsets and 27 rules that satisfy all three thresholds; Apriori produced an identical rule set, confirming the implementation. Table VIII and Fig. 7 show the strongest rules. The top rule states that a High-severity event in the Supply Chain &amp; Logistics sector that co-occurs with a logistics risk is a weather event in 88% of cases, 3.96 times the base rate. Its mirror image (weather in the same sector implies a co-occurring logistics risk, lift 3.23) confirms that monsoon disruption and transport disruption travel together. A second family links policy risk to the Finance sector and to co-occurring supplier risk (lift 3.16–3.44), consistent with regulatory changes that propagate to input supply.</w:t>
      </w:r>
    </w:p>
    <w:p>
      <w:pPr>
        <w:keepNext/>
        <w:spacing w:after="0" w:before="160"/>
        <w:jc w:val="center"/>
      </w:pPr>
      <w:r>
        <w:rPr>
          <w:rFonts w:ascii="Times New Roman" w:cs="Times New Roman" w:eastAsia="Times New Roman" w:hAnsi="Times New Roman"/>
          <w:smallCaps/>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Top Association Rules by Lift</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3026"/>
        <w:gridCol w:w="645"/>
        <w:gridCol w:w="645"/>
        <w:gridCol w:w="646"/>
      </w:tblGrid>
      <w:tr>
        <w:trPr>
          <w:cantSplit/>
          <w:tblHeader/>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Antecedent ⇒ consequent</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Sup.</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Conf.</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Lift</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co-risk logistics, SC&amp;L, High ⇒ weather</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0.057</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0.88</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3.96</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Finance, Medium ⇒ policy</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0.059</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0.66</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3.44</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co-risk logistics, SC&amp;L ⇒ weather</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0.080</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0.76</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3.40</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co-risk logistics, High ⇒ weather</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0.096</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0.74</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3.33</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policy, Medium ⇒ co-risk supplier</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0.067</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0.60</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3.30</w:t>
            </w:r>
          </w:p>
        </w:tc>
      </w:tr>
      <w:tr>
        <w:trPr>
          <w:cantSplit/>
          <w:tblHeader w:val="off"/>
        </w:trPr>
        <w:tc>
          <w:tcPr>
            <w:tcW w:type="dxa" w:w="302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weather, SC&amp;L, High ⇒ co-risk logistics</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0.057</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0.76</w:t>
            </w:r>
          </w:p>
        </w:tc>
        <w:tc>
          <w:tcPr>
            <w:tcW w:type="dxa" w:w="646"/>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3.23</w:t>
            </w:r>
          </w:p>
        </w:tc>
      </w:tr>
    </w:tbl>
    <w:p>
      <w:pPr>
        <w:spacing w:after="120"/>
      </w:pPr>
    </w:p>
    <w:p>
      <w:pPr>
        <w:spacing w:after="0" w:line="230"/>
        <w:ind w:firstLine="0"/>
        <w:jc w:val="both"/>
      </w:pPr>
      <w:r>
        <w:rPr>
          <w:rFonts w:ascii="Times New Roman" w:cs="Times New Roman" w:eastAsia="Times New Roman" w:hAnsi="Times New Roman"/>
          <w:sz w:val="20"/>
          <w:szCs w:val="20"/>
        </w:rPr>
        <w:t xml:space="preserve">In Table VIII, SC&amp;L abbreviates the Supply Chain &amp; Logistics sector and “co-risk” marks another risk type reported in the same article.</w:t>
      </w:r>
    </w:p>
    <w:p>
      <w:pPr>
        <w:keepNext/>
        <w:spacing w:after="0" w:before="120"/>
        <w:jc w:val="center"/>
      </w:pPr>
      <w:r>
        <w:drawing>
          <wp:inline distT="0" distB="0" distL="0" distR="0">
            <wp:extent cx="3143250" cy="2066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066925"/>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Top twelve FP-Growth rules ranked by lift, annotated with confidence and support.</w:t>
      </w:r>
    </w:p>
    <w:p>
      <w:pPr>
        <w:pStyle w:val="Heading2"/>
        <w:keepNext/>
        <w:spacing w:after="60" w:before="120"/>
      </w:pPr>
      <w:r>
        <w:rPr>
          <w:rFonts w:ascii="Times New Roman" w:cs="Times New Roman" w:eastAsia="Times New Roman" w:hAnsi="Times New Roman"/>
          <w:i/>
          <w:iCs/>
          <w:sz w:val="20"/>
          <w:szCs w:val="20"/>
        </w:rPr>
        <w:t xml:space="preserve">F. Clusters of Risk Events</w:t>
      </w:r>
    </w:p>
    <w:p>
      <w:pPr>
        <w:spacing w:after="0" w:line="230"/>
        <w:ind w:firstLine="202"/>
        <w:jc w:val="both"/>
      </w:pPr>
      <w:r>
        <w:rPr>
          <w:rFonts w:ascii="Times New Roman" w:cs="Times New Roman" w:eastAsia="Times New Roman" w:hAnsi="Times New Roman"/>
          <w:sz w:val="20"/>
          <w:szCs w:val="20"/>
        </w:rPr>
        <w:t xml:space="preserve">The inertia curve has its knee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5 (Fig. 8). The silhouette score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5 is 0.239;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2 scores slightly higher (0.271) but merely separates high- from low-impact events, so the elbow choice was kept for interpretability. The first two principal components explain 37.9% and 18.4% of the variance. The five clusters (Table IX, Fig. 9) are clearly interpretable: a </w:t>
      </w:r>
      <w:r>
        <w:rPr>
          <w:rFonts w:ascii="Times New Roman" w:cs="Times New Roman" w:eastAsia="Times New Roman" w:hAnsi="Times New Roman"/>
          <w:i/>
          <w:iCs/>
          <w:sz w:val="20"/>
          <w:szCs w:val="20"/>
        </w:rPr>
        <w:t xml:space="preserve">high-impact monsoon weather</w:t>
      </w:r>
      <w:r>
        <w:rPr>
          <w:rFonts w:ascii="Times New Roman" w:cs="Times New Roman" w:eastAsia="Times New Roman" w:hAnsi="Times New Roman"/>
          <w:sz w:val="20"/>
          <w:szCs w:val="20"/>
        </w:rPr>
        <w:t xml:space="preserve"> cluster (C1, 84% weather, 90% in monsoon months, 78% High severity), a </w:t>
      </w:r>
      <w:r>
        <w:rPr>
          <w:rFonts w:ascii="Times New Roman" w:cs="Times New Roman" w:eastAsia="Times New Roman" w:hAnsi="Times New Roman"/>
          <w:i/>
          <w:iCs/>
          <w:sz w:val="20"/>
          <w:szCs w:val="20"/>
        </w:rPr>
        <w:t xml:space="preserve">high-impact all-year</w:t>
      </w:r>
      <w:r>
        <w:rPr>
          <w:rFonts w:ascii="Times New Roman" w:cs="Times New Roman" w:eastAsia="Times New Roman" w:hAnsi="Times New Roman"/>
          <w:sz w:val="20"/>
          <w:szCs w:val="20"/>
        </w:rPr>
        <w:t xml:space="preserve"> cluster led by logistics (C2, 97% High), a </w:t>
      </w:r>
      <w:r>
        <w:rPr>
          <w:rFonts w:ascii="Times New Roman" w:cs="Times New Roman" w:eastAsia="Times New Roman" w:hAnsi="Times New Roman"/>
          <w:i/>
          <w:iCs/>
          <w:sz w:val="20"/>
          <w:szCs w:val="20"/>
        </w:rPr>
        <w:t xml:space="preserve">moderate policy</w:t>
      </w:r>
      <w:r>
        <w:rPr>
          <w:rFonts w:ascii="Times New Roman" w:cs="Times New Roman" w:eastAsia="Times New Roman" w:hAnsi="Times New Roman"/>
          <w:sz w:val="20"/>
          <w:szCs w:val="20"/>
        </w:rPr>
        <w:t xml:space="preserve"> cluster (C3, 61% policy) and two low-impact mixed clusters that differ only in season (C0 off-monsoon, C4 monsoon).</w:t>
      </w:r>
    </w:p>
    <w:p>
      <w:pPr>
        <w:keepNext/>
        <w:spacing w:after="0" w:before="120"/>
        <w:jc w:val="center"/>
      </w:pPr>
      <w:r>
        <w:drawing>
          <wp:inline distT="0" distB="0" distL="0" distR="0">
            <wp:extent cx="3143250" cy="12668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266825"/>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Choosing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inertia (elbow) and mean silhouette score for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2…10; the dashed line marks the chosen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5.</w:t>
      </w:r>
    </w:p>
    <w:p>
      <w:pPr>
        <w:keepNext/>
        <w:spacing w:after="0" w:before="160"/>
        <w:jc w:val="center"/>
      </w:pPr>
      <w:r>
        <w:rPr>
          <w:rFonts w:ascii="Times New Roman" w:cs="Times New Roman" w:eastAsia="Times New Roman" w:hAnsi="Times New Roman"/>
          <w:smallCaps/>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Cluster Profiles (k = 5)</w:t>
      </w:r>
    </w:p>
    <w:tbl>
      <w:tblPr>
        <w:tblW w:type="dxa" w:w="4962"/>
        <w:tblBorders>
          <w:top w:val="single" w:color="auto" w:sz="4"/>
          <w:left w:val="single" w:color="auto" w:sz="4"/>
          <w:bottom w:val="single" w:color="auto" w:sz="4"/>
          <w:right w:val="single" w:color="auto" w:sz="4"/>
          <w:insideH w:val="single" w:color="auto" w:sz="4"/>
          <w:insideV w:val="single" w:color="auto" w:sz="4"/>
        </w:tblBorders>
      </w:tblPr>
      <w:tblGrid>
        <w:gridCol w:w="744"/>
        <w:gridCol w:w="645"/>
        <w:gridCol w:w="992"/>
        <w:gridCol w:w="1587"/>
        <w:gridCol w:w="994"/>
      </w:tblGrid>
      <w:tr>
        <w:trPr>
          <w:cantSplit/>
          <w:tblHeader/>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Cluster</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Size</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Avg. impact</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Dominant type</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bCs/>
                <w:sz w:val="16"/>
                <w:szCs w:val="16"/>
              </w:rPr>
              <w:t xml:space="preserve">Monsoon</w:t>
            </w:r>
          </w:p>
        </w:tc>
      </w:tr>
      <w:tr>
        <w:trPr>
          <w:cantSplit/>
          <w:tblHeader w:val="off"/>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C0</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108</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4.32</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logistics (36%)</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0%</w:t>
            </w:r>
          </w:p>
        </w:tc>
      </w:tr>
      <w:tr>
        <w:trPr>
          <w:cantSplit/>
          <w:tblHeader w:val="off"/>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C1</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67</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8.57</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weather (84%)</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90%</w:t>
            </w:r>
          </w:p>
        </w:tc>
      </w:tr>
      <w:tr>
        <w:trPr>
          <w:cantSplit/>
          <w:tblHeader w:val="off"/>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C2</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88</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8.56</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logistics (46%)</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51%</w:t>
            </w:r>
          </w:p>
        </w:tc>
      </w:tr>
      <w:tr>
        <w:trPr>
          <w:cantSplit/>
          <w:tblHeader w:val="off"/>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center"/>
            </w:pPr>
            <w:r>
              <w:rPr>
                <w:rFonts w:ascii="Times New Roman" w:cs="Times New Roman" w:eastAsia="Times New Roman" w:hAnsi="Times New Roman"/>
                <w:b w:val="false"/>
                <w:bCs w:val="false"/>
                <w:sz w:val="16"/>
                <w:szCs w:val="16"/>
              </w:rPr>
              <w:t xml:space="preserve">C3</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51</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5.18</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left"/>
            </w:pPr>
            <w:r>
              <w:rPr>
                <w:rFonts w:ascii="Times New Roman" w:cs="Times New Roman" w:eastAsia="Times New Roman" w:hAnsi="Times New Roman"/>
                <w:b w:val="false"/>
                <w:bCs w:val="false"/>
                <w:sz w:val="16"/>
                <w:szCs w:val="16"/>
              </w:rPr>
              <w:t xml:space="preserve">policy (61%)</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keepLines/>
              <w:jc w:val="right"/>
            </w:pPr>
            <w:r>
              <w:rPr>
                <w:rFonts w:ascii="Times New Roman" w:cs="Times New Roman" w:eastAsia="Times New Roman" w:hAnsi="Times New Roman"/>
                <w:b w:val="false"/>
                <w:bCs w:val="false"/>
                <w:sz w:val="16"/>
                <w:szCs w:val="16"/>
              </w:rPr>
              <w:t xml:space="preserve">24%</w:t>
            </w:r>
          </w:p>
        </w:tc>
      </w:tr>
      <w:tr>
        <w:trPr>
          <w:cantSplit/>
          <w:tblHeader w:val="off"/>
        </w:trPr>
        <w:tc>
          <w:tcPr>
            <w:tcW w:type="dxa" w:w="74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center"/>
            </w:pPr>
            <w:r>
              <w:rPr>
                <w:rFonts w:ascii="Times New Roman" w:cs="Times New Roman" w:eastAsia="Times New Roman" w:hAnsi="Times New Roman"/>
                <w:b w:val="false"/>
                <w:bCs w:val="false"/>
                <w:sz w:val="16"/>
                <w:szCs w:val="16"/>
              </w:rPr>
              <w:t xml:space="preserve">C4</w:t>
            </w:r>
          </w:p>
        </w:tc>
        <w:tc>
          <w:tcPr>
            <w:tcW w:type="dxa" w:w="645"/>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73</w:t>
            </w:r>
          </w:p>
        </w:tc>
        <w:tc>
          <w:tcPr>
            <w:tcW w:type="dxa" w:w="99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4.44</w:t>
            </w:r>
          </w:p>
        </w:tc>
        <w:tc>
          <w:tcPr>
            <w:tcW w:type="dxa" w:w="1587"/>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left"/>
            </w:pPr>
            <w:r>
              <w:rPr>
                <w:rFonts w:ascii="Times New Roman" w:cs="Times New Roman" w:eastAsia="Times New Roman" w:hAnsi="Times New Roman"/>
                <w:b w:val="false"/>
                <w:bCs w:val="false"/>
                <w:sz w:val="16"/>
                <w:szCs w:val="16"/>
              </w:rPr>
              <w:t xml:space="preserve">reputational (26%)</w:t>
            </w:r>
          </w:p>
        </w:tc>
        <w:tc>
          <w:tcPr>
            <w:tcW w:type="dxa" w:w="994"/>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keepNext w:val="false"/>
              <w:keepLines/>
              <w:jc w:val="right"/>
            </w:pPr>
            <w:r>
              <w:rPr>
                <w:rFonts w:ascii="Times New Roman" w:cs="Times New Roman" w:eastAsia="Times New Roman" w:hAnsi="Times New Roman"/>
                <w:b w:val="false"/>
                <w:bCs w:val="false"/>
                <w:sz w:val="16"/>
                <w:szCs w:val="16"/>
              </w:rPr>
              <w:t xml:space="preserve">100%</w:t>
            </w:r>
          </w:p>
        </w:tc>
      </w:tr>
    </w:tbl>
    <w:p>
      <w:pPr>
        <w:spacing w:after="120"/>
      </w:pPr>
    </w:p>
    <w:p>
      <w:pPr>
        <w:keepNext/>
        <w:spacing w:after="0" w:before="120"/>
        <w:jc w:val="center"/>
      </w:pPr>
      <w:r>
        <w:drawing>
          <wp:inline distT="0" distB="0" distL="0" distR="0">
            <wp:extent cx="3143250" cy="22669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66950"/>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k-Means clusters of the 387 risk events projected onto the first two principal components.</w:t>
      </w:r>
    </w:p>
    <w:p>
      <w:pPr>
        <w:pStyle w:val="Heading2"/>
        <w:keepNext/>
        <w:spacing w:after="60" w:before="120"/>
      </w:pPr>
      <w:r>
        <w:rPr>
          <w:rFonts w:ascii="Times New Roman" w:cs="Times New Roman" w:eastAsia="Times New Roman" w:hAnsi="Times New Roman"/>
          <w:i/>
          <w:iCs/>
          <w:sz w:val="20"/>
          <w:szCs w:val="20"/>
        </w:rPr>
        <w:t xml:space="preserve">G. Dashboard Outputs</w:t>
      </w:r>
    </w:p>
    <w:p>
      <w:pPr>
        <w:spacing w:after="0" w:line="230"/>
        <w:ind w:firstLine="202"/>
        <w:jc w:val="both"/>
        <w:sectPr>
          <w:type w:val="continuous"/>
          <w:pgSz w:w="11906" w:h="16838" w:orient="portrait"/>
          <w:pgMar w:top="1077" w:right="811" w:bottom="1440" w:left="811" w:header="708" w:footer="708" w:gutter="0"/>
          <w:pgNumType/>
          <w:cols w:space="360" w:num="2" w:equalWidth="true"/>
          <w:docGrid w:linePitch="360"/>
        </w:sectPr>
      </w:pPr>
      <w:r>
        <w:rPr>
          <w:rFonts w:ascii="Times New Roman" w:cs="Times New Roman" w:eastAsia="Times New Roman" w:hAnsi="Times New Roman"/>
          <w:sz w:val="20"/>
          <w:szCs w:val="20"/>
        </w:rPr>
        <w:t xml:space="preserve">Fig. 10(a) shows the Overview page for the full data set: a Risk Exposure Index of 5,802, an average impact of 6.16 out of 10, all 387 events in view and a top-rule confidence of 88%. Every element responds to the filters; for example, restricting the region to the West re-computes the KPIs, the OLAP cube and the association rules for that slice only. Fig. 10(b) shows the rules page, where the strongest rule is stated in plain language next to a support–confidence map of all rules (bubble size encodes lift) and the full rule table. Fig. 11 shows the interactive cluster map with cluster profiles, and Fig. 12 the SPARQL console, here listing all events affecting one organisation with their type, place and score, and the searchable event log that traces every event back to its source article.</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5142"/>
        <w:gridCol w:w="5142"/>
      </w:tblGrid>
      <w:t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2466975" cy="3000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66975" cy="3000375"/>
                          </a:xfrm>
                          <a:prstGeom prst="rect">
                            <a:avLst/>
                          </a:prstGeom>
                        </pic:spPr>
                      </pic:pic>
                    </a:graphicData>
                  </a:graphic>
                </wp:inline>
              </w:drawing>
            </w:r>
          </w:p>
          <w:p>
            <w:pPr>
              <w:spacing w:before="40"/>
              <w:jc w:val="center"/>
            </w:pPr>
            <w:r>
              <w:rPr>
                <w:rFonts w:ascii="Times New Roman" w:cs="Times New Roman" w:eastAsia="Times New Roman" w:hAnsi="Times New Roman"/>
                <w:sz w:val="16"/>
                <w:szCs w:val="16"/>
              </w:rPr>
              <w:t xml:space="preserve">(a) Overview</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43250" cy="30099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3009900"/>
                          </a:xfrm>
                          <a:prstGeom prst="rect">
                            <a:avLst/>
                          </a:prstGeom>
                        </pic:spPr>
                      </pic:pic>
                    </a:graphicData>
                  </a:graphic>
                </wp:inline>
              </w:drawing>
            </w:r>
          </w:p>
          <w:p>
            <w:pPr>
              <w:spacing w:before="40"/>
              <w:jc w:val="center"/>
            </w:pPr>
            <w:r>
              <w:rPr>
                <w:rFonts w:ascii="Times New Roman" w:cs="Times New Roman" w:eastAsia="Times New Roman" w:hAnsi="Times New Roman"/>
                <w:sz w:val="16"/>
                <w:szCs w:val="16"/>
              </w:rPr>
              <w:t xml:space="preserve">(b) Association rules</w:t>
            </w:r>
          </w:p>
        </w:tc>
      </w:tr>
    </w:tbl>
    <w:p>
      <w:pPr>
        <w:spacing w:after="180" w:before="6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Dashboard pages. (a) Overview: sidebar navigation and OLAP filters, KPI cards with monthly sparklines, exposure trend, strongest rule in view, roll-up/drill-down cube, risk mix and cluster summary. (b) Association rules: highest-lift rule, rule landscape (support vs. confidence, bubble size = lift) and the ranked rule table.</w:t>
      </w:r>
    </w:p>
    <w:p>
      <w:pPr>
        <w:keepNext/>
        <w:spacing w:after="0" w:before="120"/>
        <w:jc w:val="center"/>
      </w:pPr>
      <w:r>
        <w:drawing>
          <wp:inline distT="0" distB="0" distL="0" distR="0">
            <wp:extent cx="4695825" cy="28670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95825" cy="2867025"/>
                    </a:xfrm>
                    <a:prstGeom prst="rect">
                      <a:avLst/>
                    </a:prstGeom>
                  </pic:spPr>
                </pic:pic>
              </a:graphicData>
            </a:graphic>
          </wp:inline>
        </w:drawing>
      </w:r>
    </w:p>
    <w:p>
      <w:pPr>
        <w:spacing w:after="180" w:before="6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Dashboard — Clusters page: k-Means cluster map in PCA space with per-cluster size, dominant risk type and average impact.</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5142"/>
        <w:gridCol w:w="5142"/>
      </w:tblGrid>
      <w:t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43250" cy="20383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038350"/>
                          </a:xfrm>
                          <a:prstGeom prst="rect">
                            <a:avLst/>
                          </a:prstGeom>
                        </pic:spPr>
                      </pic:pic>
                    </a:graphicData>
                  </a:graphic>
                </wp:inline>
              </w:drawing>
            </w:r>
          </w:p>
          <w:p>
            <w:pPr>
              <w:spacing w:before="40"/>
              <w:jc w:val="center"/>
            </w:pPr>
            <w:r>
              <w:rPr>
                <w:rFonts w:ascii="Times New Roman" w:cs="Times New Roman" w:eastAsia="Times New Roman" w:hAnsi="Times New Roman"/>
                <w:sz w:val="16"/>
                <w:szCs w:val="16"/>
              </w:rPr>
              <w:t xml:space="preserve">(a) Knowledge graph: SPARQL query and results</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2943225" cy="20383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43225" cy="2038350"/>
                          </a:xfrm>
                          <a:prstGeom prst="rect">
                            <a:avLst/>
                          </a:prstGeom>
                        </pic:spPr>
                      </pic:pic>
                    </a:graphicData>
                  </a:graphic>
                </wp:inline>
              </w:drawing>
            </w:r>
          </w:p>
          <w:p>
            <w:pPr>
              <w:spacing w:before="40"/>
              <w:jc w:val="center"/>
            </w:pPr>
            <w:r>
              <w:rPr>
                <w:rFonts w:ascii="Times New Roman" w:cs="Times New Roman" w:eastAsia="Times New Roman" w:hAnsi="Times New Roman"/>
                <w:sz w:val="16"/>
                <w:szCs w:val="16"/>
              </w:rPr>
              <w:t xml:space="preserve">(b) Event log with global search</w:t>
            </w:r>
          </w:p>
        </w:tc>
      </w:tr>
    </w:tbl>
    <w:p>
      <w:pPr>
        <w:spacing w:after="180" w:before="60"/>
        <w:jc w:val="both"/>
        <w:sectPr>
          <w:type w:val="continuous"/>
          <w:pgSz w:w="11906" w:h="16838" w:orient="portrait"/>
          <w:pgMar w:top="1077" w:right="811" w:bottom="1440" w:left="811" w:header="708" w:footer="708" w:gutter="0"/>
          <w:pgNumType/>
          <w:cols w:num="1"/>
          <w:docGrid w:linePitch="360"/>
        </w:sectPr>
      </w:pPr>
      <w:r>
        <w:rPr>
          <w:rFonts w:ascii="Times New Roman" w:cs="Times New Roman" w:eastAsia="Times New Roman" w:hAnsi="Times New Roman"/>
          <w:sz w:val="16"/>
          <w:szCs w:val="16"/>
        </w:rPr>
        <w:t xml:space="preserve">Fig. 12.  </w:t>
      </w:r>
      <w:r>
        <w:rPr>
          <w:rFonts w:ascii="Times New Roman" w:cs="Times New Roman" w:eastAsia="Times New Roman" w:hAnsi="Times New Roman"/>
          <w:sz w:val="16"/>
          <w:szCs w:val="16"/>
        </w:rPr>
        <w:t xml:space="preserve">Dashboard — exploration pages. (a) A SPARQL query over the RDF knowledge graph returning the events that affect one organisation. (b) The event log of the current scope, linked to source articles.</w:t>
      </w:r>
    </w:p>
    <w:p>
      <w:pPr>
        <w:pStyle w:val="Heading1"/>
        <w:keepNext/>
        <w:spacing w:after="100" w:before="200"/>
        <w:jc w:val="center"/>
      </w:pPr>
      <w:r>
        <w:rPr>
          <w:rFonts w:ascii="Times New Roman" w:cs="Times New Roman" w:eastAsia="Times New Roman" w:hAnsi="Times New Roman"/>
          <w:smallCaps/>
          <w:sz w:val="20"/>
          <w:szCs w:val="20"/>
        </w:rPr>
        <w:t xml:space="preserve">VII. Limitations and Future Work</w:t>
      </w:r>
    </w:p>
    <w:p>
      <w:pPr>
        <w:spacing w:after="0" w:line="230"/>
        <w:ind w:firstLine="202"/>
        <w:jc w:val="both"/>
      </w:pPr>
      <w:r>
        <w:rPr>
          <w:rFonts w:ascii="Times New Roman" w:cs="Times New Roman" w:eastAsia="Times New Roman" w:hAnsi="Times New Roman"/>
          <w:sz w:val="20"/>
          <w:szCs w:val="20"/>
        </w:rPr>
        <w:t xml:space="preserve">The study has several limitations. The bundled corpus is synthetic, so the mined patterns demonstrate the method rather than real-world findings, and 240 articles is a modest sample. The co-occurrence rule produces spurious triples (precision 72.4%). The ontology records association, not causation, and has no causal taxonomy. Entity and source are degenerate attributes, adequate at this scale but not for hierarchical browsing. Processing is batch-oriented over historical text, there is no supervised severity classifier (no labels are available), and the impact score is a transparent heuristic rather than a calibrated financial measure.</w:t>
      </w:r>
    </w:p>
    <w:p>
      <w:pPr>
        <w:spacing w:after="0" w:line="230"/>
        <w:ind w:firstLine="202"/>
        <w:jc w:val="both"/>
      </w:pPr>
      <w:r>
        <w:rPr>
          <w:rFonts w:ascii="Times New Roman" w:cs="Times New Roman" w:eastAsia="Times New Roman" w:hAnsi="Times New Roman"/>
          <w:sz w:val="20"/>
          <w:szCs w:val="20"/>
        </w:rPr>
        <w:t xml:space="preserve">Future work follows directly from these limitations:</w:t>
      </w:r>
    </w:p>
    <w:p>
      <w:pPr>
        <w:pStyle w:val="ListParagraph"/>
        <w:numPr>
          <w:ilvl w:val="0"/>
          <w:numId w:val="2"/>
        </w:numPr>
        <w:spacing w:after="20" w:line="230"/>
        <w:jc w:val="both"/>
      </w:pPr>
      <w:r>
        <w:rPr>
          <w:rFonts w:ascii="Times New Roman" w:cs="Times New Roman" w:eastAsia="Times New Roman" w:hAnsi="Times New Roman"/>
          <w:sz w:val="20"/>
          <w:szCs w:val="20"/>
        </w:rPr>
        <w:t xml:space="preserve">replace the co-occurrence rule with learned relation extraction, e.g. a fine-tuned transformer [30], and add causal relations (</w:t>
      </w:r>
      <w:r>
        <w:rPr>
          <w:rFonts w:ascii="Times New Roman" w:cs="Times New Roman" w:eastAsia="Times New Roman" w:hAnsi="Times New Roman"/>
          <w:i/>
          <w:iCs/>
          <w:sz w:val="20"/>
          <w:szCs w:val="20"/>
        </w:rPr>
        <w:t xml:space="preserve">causes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mitigates</w:t>
      </w:r>
      <w:r>
        <w:rPr>
          <w:rFonts w:ascii="Times New Roman" w:cs="Times New Roman" w:eastAsia="Times New Roman" w:hAnsi="Times New Roman"/>
          <w:sz w:val="20"/>
          <w:szCs w:val="20"/>
        </w:rPr>
        <w:t xml:space="preserve">) to the ontology;</w:t>
      </w:r>
    </w:p>
    <w:p>
      <w:pPr>
        <w:pStyle w:val="ListParagraph"/>
        <w:numPr>
          <w:ilvl w:val="0"/>
          <w:numId w:val="2"/>
        </w:numPr>
        <w:spacing w:after="20" w:line="230"/>
        <w:jc w:val="both"/>
      </w:pPr>
      <w:r>
        <w:rPr>
          <w:rFonts w:ascii="Times New Roman" w:cs="Times New Roman" w:eastAsia="Times New Roman" w:hAnsi="Times New Roman"/>
          <w:sz w:val="20"/>
          <w:szCs w:val="20"/>
        </w:rPr>
        <w:t xml:space="preserve">train a severity classifier once a labelled subset exists, use DBSCAN [31] for outlier events and add rule-based alerting over the mining outputs;</w:t>
      </w:r>
    </w:p>
    <w:p>
      <w:pPr>
        <w:pStyle w:val="ListParagraph"/>
        <w:numPr>
          <w:ilvl w:val="0"/>
          <w:numId w:val="2"/>
        </w:numPr>
        <w:spacing w:after="20" w:line="230"/>
        <w:jc w:val="both"/>
      </w:pPr>
      <w:r>
        <w:rPr>
          <w:rFonts w:ascii="Times New Roman" w:cs="Times New Roman" w:eastAsia="Times New Roman" w:hAnsi="Times New Roman"/>
          <w:sz w:val="20"/>
          <w:szCs w:val="20"/>
        </w:rPr>
        <w:t xml:space="preserve">promote entity and source to full dimensions with slowly changing history, and ingest live news and social-media feeds;</w:t>
      </w:r>
    </w:p>
    <w:p>
      <w:pPr>
        <w:pStyle w:val="ListParagraph"/>
        <w:numPr>
          <w:ilvl w:val="0"/>
          <w:numId w:val="2"/>
        </w:numPr>
        <w:spacing w:after="20" w:line="230"/>
        <w:jc w:val="both"/>
      </w:pPr>
      <w:r>
        <w:rPr>
          <w:rFonts w:ascii="Times New Roman" w:cs="Times New Roman" w:eastAsia="Times New Roman" w:hAnsi="Times New Roman"/>
          <w:sz w:val="20"/>
          <w:szCs w:val="20"/>
        </w:rPr>
        <w:t xml:space="preserve">link entities to Wikidata [32] and company registries, and move the graph to a triple store with OWL reasoning;</w:t>
      </w:r>
    </w:p>
    <w:p>
      <w:pPr>
        <w:pStyle w:val="ListParagraph"/>
        <w:numPr>
          <w:ilvl w:val="0"/>
          <w:numId w:val="2"/>
        </w:numPr>
        <w:spacing w:after="20" w:line="230"/>
        <w:jc w:val="both"/>
      </w:pPr>
      <w:r>
        <w:rPr>
          <w:rFonts w:ascii="Times New Roman" w:cs="Times New Roman" w:eastAsia="Times New Roman" w:hAnsi="Times New Roman"/>
          <w:sz w:val="20"/>
          <w:szCs w:val="20"/>
        </w:rPr>
        <w:t xml:space="preserve">evaluate on a large real-world news corpus across more sectors and geographies.</w:t>
      </w:r>
    </w:p>
    <w:p>
      <w:pPr>
        <w:pStyle w:val="Heading1"/>
        <w:keepNext/>
        <w:spacing w:after="100" w:before="200"/>
        <w:jc w:val="center"/>
      </w:pPr>
      <w:r>
        <w:rPr>
          <w:rFonts w:ascii="Times New Roman" w:cs="Times New Roman" w:eastAsia="Times New Roman" w:hAnsi="Times New Roman"/>
          <w:smallCaps/>
          <w:sz w:val="20"/>
          <w:szCs w:val="20"/>
        </w:rPr>
        <w:t xml:space="preserve">VIII. Conclusion</w:t>
      </w:r>
    </w:p>
    <w:p>
      <w:pPr>
        <w:spacing w:after="0" w:line="230"/>
        <w:ind w:firstLine="202"/>
        <w:jc w:val="both"/>
      </w:pPr>
      <w:r>
        <w:rPr>
          <w:rFonts w:ascii="Times New Roman" w:cs="Times New Roman" w:eastAsia="Times New Roman" w:hAnsi="Times New Roman"/>
          <w:sz w:val="20"/>
          <w:szCs w:val="20"/>
        </w:rPr>
        <w:t xml:space="preserve">OntoRisk BI shows that a small, transparent pipeline can turn unstructured business news into risk intelligence that is simultaneously </w:t>
      </w:r>
      <w:r>
        <w:rPr>
          <w:rFonts w:ascii="Times New Roman" w:cs="Times New Roman" w:eastAsia="Times New Roman" w:hAnsi="Times New Roman"/>
          <w:i/>
          <w:iCs/>
          <w:sz w:val="20"/>
          <w:szCs w:val="20"/>
        </w:rPr>
        <w:t xml:space="preserve">meaningful</w:t>
      </w:r>
      <w:r>
        <w:rPr>
          <w:rFonts w:ascii="Times New Roman" w:cs="Times New Roman" w:eastAsia="Times New Roman" w:hAnsi="Times New Roman"/>
          <w:sz w:val="20"/>
          <w:szCs w:val="20"/>
        </w:rPr>
        <w:t xml:space="preserve"> (an OWL ontology and SPARQL-validated RDF graph), </w:t>
      </w:r>
      <w:r>
        <w:rPr>
          <w:rFonts w:ascii="Times New Roman" w:cs="Times New Roman" w:eastAsia="Times New Roman" w:hAnsi="Times New Roman"/>
          <w:i/>
          <w:iCs/>
          <w:sz w:val="20"/>
          <w:szCs w:val="20"/>
        </w:rPr>
        <w:t xml:space="preserve">analysable</w:t>
      </w:r>
      <w:r>
        <w:rPr>
          <w:rFonts w:ascii="Times New Roman" w:cs="Times New Roman" w:eastAsia="Times New Roman" w:hAnsi="Times New Roman"/>
          <w:sz w:val="20"/>
          <w:szCs w:val="20"/>
        </w:rPr>
        <w:t xml:space="preserve"> (a DuckDB star schema supporting OLAP) and </w:t>
      </w:r>
      <w:r>
        <w:rPr>
          <w:rFonts w:ascii="Times New Roman" w:cs="Times New Roman" w:eastAsia="Times New Roman" w:hAnsi="Times New Roman"/>
          <w:i/>
          <w:iCs/>
          <w:sz w:val="20"/>
          <w:szCs w:val="20"/>
        </w:rPr>
        <w:t xml:space="preserve">mined</w:t>
      </w:r>
      <w:r>
        <w:rPr>
          <w:rFonts w:ascii="Times New Roman" w:cs="Times New Roman" w:eastAsia="Times New Roman" w:hAnsi="Times New Roman"/>
          <w:sz w:val="20"/>
          <w:szCs w:val="20"/>
        </w:rPr>
        <w:t xml:space="preserve"> (FP-Growth rules and k-Means clusters), with every fact row linked to its triples. On an Indian-context corpus it extracted 387 risk events with 92.6% recall and 72.4% precision, passed all semantic and referential integrity checks, and surfaced interpretable patterns, most notably the strong coupling of monsoon weather and logistics disruption (lift 3.96) and a distinct high-impact monsoon cluster. The open, tested and deployed implementation provides a practical base for small enterprises and for the learned-extraction and causal-modelling extensions outlined above.</w:t>
      </w:r>
    </w:p>
    <w:p>
      <w:pPr>
        <w:keepNext/>
        <w:spacing w:after="100" w:before="200"/>
        <w:jc w:val="center"/>
      </w:pPr>
      <w:r>
        <w:rPr>
          <w:rFonts w:ascii="Times New Roman" w:cs="Times New Roman" w:eastAsia="Times New Roman" w:hAnsi="Times New Roman"/>
          <w:smallCaps/>
          <w:sz w:val="20"/>
          <w:szCs w:val="20"/>
        </w:rPr>
        <w:t xml:space="preserve">Acknowledgment</w:t>
      </w:r>
    </w:p>
    <w:p>
      <w:pPr>
        <w:spacing w:after="0" w:line="230"/>
        <w:ind w:firstLine="202"/>
        <w:jc w:val="both"/>
      </w:pPr>
      <w:r>
        <w:rPr>
          <w:rFonts w:ascii="Times New Roman" w:cs="Times New Roman" w:eastAsia="Times New Roman" w:hAnsi="Times New Roman"/>
          <w:sz w:val="20"/>
          <w:szCs w:val="20"/>
        </w:rPr>
        <w:t xml:space="preserve">The authors thank Dr. Sathiyaraj Rajendran, Associate Professor, Department of Computer Science and Engineering, Manipal Institute of Technology Bengaluru, for his guidance throughout this project, and the department for its support.</w:t>
      </w:r>
    </w:p>
    <w:p>
      <w:pPr>
        <w:keepNext/>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30" w:line="200"/>
        <w:ind w:left="400" w:hanging="40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C. S. Tang, “Perspectives in supply chain risk management,” </w:t>
      </w:r>
      <w:r>
        <w:rPr>
          <w:rFonts w:ascii="Times New Roman" w:cs="Times New Roman" w:eastAsia="Times New Roman" w:hAnsi="Times New Roman"/>
          <w:i/>
          <w:iCs/>
          <w:sz w:val="16"/>
          <w:szCs w:val="16"/>
        </w:rPr>
        <w:t xml:space="preserve">Int. J. Prod. Econ.</w:t>
      </w:r>
      <w:r>
        <w:rPr>
          <w:rFonts w:ascii="Times New Roman" w:cs="Times New Roman" w:eastAsia="Times New Roman" w:hAnsi="Times New Roman"/>
          <w:sz w:val="16"/>
          <w:szCs w:val="16"/>
        </w:rPr>
        <w:t xml:space="preserve">, vol. 103, no. 2, pp. 451–488, 2006.</w:t>
      </w:r>
    </w:p>
    <w:p>
      <w:pPr>
        <w:tabs>
          <w:tab w:val="left" w:pos="400"/>
        </w:tabs>
        <w:spacing w:after="30" w:line="200"/>
        <w:ind w:left="400" w:hanging="40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W. Ho, T. Zheng, H. Yildiz, and S. Talluri, “Supply chain risk management: A literature review,” </w:t>
      </w:r>
      <w:r>
        <w:rPr>
          <w:rFonts w:ascii="Times New Roman" w:cs="Times New Roman" w:eastAsia="Times New Roman" w:hAnsi="Times New Roman"/>
          <w:i/>
          <w:iCs/>
          <w:sz w:val="16"/>
          <w:szCs w:val="16"/>
        </w:rPr>
        <w:t xml:space="preserve">Int. J. Prod. Res.</w:t>
      </w:r>
      <w:r>
        <w:rPr>
          <w:rFonts w:ascii="Times New Roman" w:cs="Times New Roman" w:eastAsia="Times New Roman" w:hAnsi="Times New Roman"/>
          <w:sz w:val="16"/>
          <w:szCs w:val="16"/>
        </w:rPr>
        <w:t xml:space="preserve">, vol. 53, no. 16, pp. 5031–5069, 2015.</w:t>
      </w:r>
    </w:p>
    <w:p>
      <w:pPr>
        <w:tabs>
          <w:tab w:val="left" w:pos="400"/>
        </w:tabs>
        <w:spacing w:after="30" w:line="200"/>
        <w:ind w:left="400" w:hanging="40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T. Berners-Lee, J. Hendler, and O. Lassila, “The Semantic Web,” </w:t>
      </w:r>
      <w:r>
        <w:rPr>
          <w:rFonts w:ascii="Times New Roman" w:cs="Times New Roman" w:eastAsia="Times New Roman" w:hAnsi="Times New Roman"/>
          <w:i/>
          <w:iCs/>
          <w:sz w:val="16"/>
          <w:szCs w:val="16"/>
        </w:rPr>
        <w:t xml:space="preserve">Sci. Amer.</w:t>
      </w:r>
      <w:r>
        <w:rPr>
          <w:rFonts w:ascii="Times New Roman" w:cs="Times New Roman" w:eastAsia="Times New Roman" w:hAnsi="Times New Roman"/>
          <w:sz w:val="16"/>
          <w:szCs w:val="16"/>
        </w:rPr>
        <w:t xml:space="preserve">, vol. 284, no. 5, pp. 34–43, May 2001.</w:t>
      </w:r>
    </w:p>
    <w:p>
      <w:pPr>
        <w:tabs>
          <w:tab w:val="left" w:pos="400"/>
        </w:tabs>
        <w:spacing w:after="30" w:line="200"/>
        <w:ind w:left="400" w:hanging="40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R. Kimball and M. Ross, </w:t>
      </w:r>
      <w:r>
        <w:rPr>
          <w:rFonts w:ascii="Times New Roman" w:cs="Times New Roman" w:eastAsia="Times New Roman" w:hAnsi="Times New Roman"/>
          <w:i/>
          <w:iCs/>
          <w:sz w:val="16"/>
          <w:szCs w:val="16"/>
        </w:rPr>
        <w:t xml:space="preserve">The Data Warehouse Toolkit: The Definitive Guide to Dimensional Modeling</w:t>
      </w:r>
      <w:r>
        <w:rPr>
          <w:rFonts w:ascii="Times New Roman" w:cs="Times New Roman" w:eastAsia="Times New Roman" w:hAnsi="Times New Roman"/>
          <w:sz w:val="16"/>
          <w:szCs w:val="16"/>
        </w:rPr>
        <w:t xml:space="preserve">, 3rd ed. Indianapolis, IN, USA: Wiley, 2013.</w:t>
      </w:r>
    </w:p>
    <w:p>
      <w:pPr>
        <w:tabs>
          <w:tab w:val="left" w:pos="400"/>
        </w:tabs>
        <w:spacing w:after="30" w:line="200"/>
        <w:ind w:left="400" w:hanging="40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T. R. Gruber, “A translation approach to portable ontology specifications,” </w:t>
      </w:r>
      <w:r>
        <w:rPr>
          <w:rFonts w:ascii="Times New Roman" w:cs="Times New Roman" w:eastAsia="Times New Roman" w:hAnsi="Times New Roman"/>
          <w:i/>
          <w:iCs/>
          <w:sz w:val="16"/>
          <w:szCs w:val="16"/>
        </w:rPr>
        <w:t xml:space="preserve">Knowl. Acquis.</w:t>
      </w:r>
      <w:r>
        <w:rPr>
          <w:rFonts w:ascii="Times New Roman" w:cs="Times New Roman" w:eastAsia="Times New Roman" w:hAnsi="Times New Roman"/>
          <w:sz w:val="16"/>
          <w:szCs w:val="16"/>
        </w:rPr>
        <w:t xml:space="preserve">, vol. 5, no. 2, pp. 199–220, 1993.</w:t>
      </w:r>
    </w:p>
    <w:p>
      <w:pPr>
        <w:tabs>
          <w:tab w:val="left" w:pos="400"/>
        </w:tabs>
        <w:spacing w:after="30" w:line="200"/>
        <w:ind w:left="400" w:hanging="40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Cyganiak, D. Wood, and M. Lanthaler, “RDF 1.1 concepts and abstract syntax,” W3C Recommendation, Feb. 2014. [Online]. Available: https://www.w3.org/TR/rdf11-concepts/</w:t>
      </w:r>
    </w:p>
    <w:p>
      <w:pPr>
        <w:tabs>
          <w:tab w:val="left" w:pos="400"/>
        </w:tabs>
        <w:spacing w:after="30" w:line="200"/>
        <w:ind w:left="400" w:hanging="40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W3C OWL Working Group, “OWL 2 Web Ontology Language document overview (second edition),” W3C Recommendation, Dec. 2012. [Online]. Available: https://www.w3.org/TR/owl2-overview/</w:t>
      </w:r>
    </w:p>
    <w:p>
      <w:pPr>
        <w:tabs>
          <w:tab w:val="left" w:pos="400"/>
        </w:tabs>
        <w:spacing w:after="30" w:line="200"/>
        <w:ind w:left="400" w:hanging="40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 Harris and A. Seaborne, “SPARQL 1.1 query language,” W3C Recommendation, Mar. 2013. [Online]. Available: https://www.w3.org/TR/sparql11-query/</w:t>
      </w:r>
    </w:p>
    <w:p>
      <w:pPr>
        <w:tabs>
          <w:tab w:val="left" w:pos="400"/>
        </w:tabs>
        <w:spacing w:after="30" w:line="200"/>
        <w:ind w:left="400" w:hanging="40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N. F. Noy and D. L. McGuinness, “Ontology development 101: A guide to creating your first ontology,” Stanford Knowl. Syst. Lab., Stanford, CA, USA, Tech. Rep. KSL-01-05, 2001.</w:t>
      </w:r>
    </w:p>
    <w:p>
      <w:pPr>
        <w:tabs>
          <w:tab w:val="left" w:pos="400"/>
        </w:tabs>
        <w:spacing w:after="30" w:line="200"/>
        <w:ind w:left="400" w:hanging="40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A. Musen, “The Protégé project: A look back and a look forward,” </w:t>
      </w:r>
      <w:r>
        <w:rPr>
          <w:rFonts w:ascii="Times New Roman" w:cs="Times New Roman" w:eastAsia="Times New Roman" w:hAnsi="Times New Roman"/>
          <w:i/>
          <w:iCs/>
          <w:sz w:val="16"/>
          <w:szCs w:val="16"/>
        </w:rPr>
        <w:t xml:space="preserve">AI Matters</w:t>
      </w:r>
      <w:r>
        <w:rPr>
          <w:rFonts w:ascii="Times New Roman" w:cs="Times New Roman" w:eastAsia="Times New Roman" w:hAnsi="Times New Roman"/>
          <w:sz w:val="16"/>
          <w:szCs w:val="16"/>
        </w:rPr>
        <w:t xml:space="preserve">, vol. 1, no. 4, pp. 4–12, 2015.</w:t>
      </w:r>
    </w:p>
    <w:p>
      <w:pPr>
        <w:tabs>
          <w:tab w:val="left" w:pos="400"/>
        </w:tabs>
        <w:spacing w:after="30" w:line="200"/>
        <w:ind w:left="400" w:hanging="40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W. H. Inmon, </w:t>
      </w:r>
      <w:r>
        <w:rPr>
          <w:rFonts w:ascii="Times New Roman" w:cs="Times New Roman" w:eastAsia="Times New Roman" w:hAnsi="Times New Roman"/>
          <w:i/>
          <w:iCs/>
          <w:sz w:val="16"/>
          <w:szCs w:val="16"/>
        </w:rPr>
        <w:t xml:space="preserve">Building the Data Warehouse</w:t>
      </w:r>
      <w:r>
        <w:rPr>
          <w:rFonts w:ascii="Times New Roman" w:cs="Times New Roman" w:eastAsia="Times New Roman" w:hAnsi="Times New Roman"/>
          <w:sz w:val="16"/>
          <w:szCs w:val="16"/>
        </w:rPr>
        <w:t xml:space="preserve">, 4th ed. Indianapolis, IN, USA: Wiley, 2005.</w:t>
      </w:r>
    </w:p>
    <w:p>
      <w:pPr>
        <w:tabs>
          <w:tab w:val="left" w:pos="400"/>
        </w:tabs>
        <w:spacing w:after="30" w:line="200"/>
        <w:ind w:left="400" w:hanging="40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S. Chaudhuri and U. Dayal, “An overview of data warehousing and OLAP technology,” </w:t>
      </w:r>
      <w:r>
        <w:rPr>
          <w:rFonts w:ascii="Times New Roman" w:cs="Times New Roman" w:eastAsia="Times New Roman" w:hAnsi="Times New Roman"/>
          <w:i/>
          <w:iCs/>
          <w:sz w:val="16"/>
          <w:szCs w:val="16"/>
        </w:rPr>
        <w:t xml:space="preserve">ACM SIGMOD Rec.</w:t>
      </w:r>
      <w:r>
        <w:rPr>
          <w:rFonts w:ascii="Times New Roman" w:cs="Times New Roman" w:eastAsia="Times New Roman" w:hAnsi="Times New Roman"/>
          <w:sz w:val="16"/>
          <w:szCs w:val="16"/>
        </w:rPr>
        <w:t xml:space="preserve">, vol. 26, no. 1, pp. 65–74, 1997.</w:t>
      </w:r>
    </w:p>
    <w:p>
      <w:pPr>
        <w:tabs>
          <w:tab w:val="left" w:pos="400"/>
        </w:tabs>
        <w:spacing w:after="30" w:line="200"/>
        <w:ind w:left="400" w:hanging="40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Raasveldt and H. Mühleisen, “DuckDB: An embeddable analytical database,” in </w:t>
      </w:r>
      <w:r>
        <w:rPr>
          <w:rFonts w:ascii="Times New Roman" w:cs="Times New Roman" w:eastAsia="Times New Roman" w:hAnsi="Times New Roman"/>
          <w:i/>
          <w:iCs/>
          <w:sz w:val="16"/>
          <w:szCs w:val="16"/>
        </w:rPr>
        <w:t xml:space="preserve">Proc. ACM SIGMOD Int. Conf. Manage. Data</w:t>
      </w:r>
      <w:r>
        <w:rPr>
          <w:rFonts w:ascii="Times New Roman" w:cs="Times New Roman" w:eastAsia="Times New Roman" w:hAnsi="Times New Roman"/>
          <w:sz w:val="16"/>
          <w:szCs w:val="16"/>
        </w:rPr>
        <w:t xml:space="preserve">, 2019, pp. 1981–1984.</w:t>
      </w:r>
    </w:p>
    <w:p>
      <w:pPr>
        <w:tabs>
          <w:tab w:val="left" w:pos="400"/>
        </w:tabs>
        <w:spacing w:after="30" w:line="200"/>
        <w:ind w:left="400" w:hanging="40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V. Nebot and R. Berlanga, “Building data warehouses with semantic web data,” </w:t>
      </w:r>
      <w:r>
        <w:rPr>
          <w:rFonts w:ascii="Times New Roman" w:cs="Times New Roman" w:eastAsia="Times New Roman" w:hAnsi="Times New Roman"/>
          <w:i/>
          <w:iCs/>
          <w:sz w:val="16"/>
          <w:szCs w:val="16"/>
        </w:rPr>
        <w:t xml:space="preserve">Decis. Support Syst.</w:t>
      </w:r>
      <w:r>
        <w:rPr>
          <w:rFonts w:ascii="Times New Roman" w:cs="Times New Roman" w:eastAsia="Times New Roman" w:hAnsi="Times New Roman"/>
          <w:sz w:val="16"/>
          <w:szCs w:val="16"/>
        </w:rPr>
        <w:t xml:space="preserve">, vol. 52, no. 4, pp. 853–868, 2012.</w:t>
      </w:r>
    </w:p>
    <w:p>
      <w:pPr>
        <w:tabs>
          <w:tab w:val="left" w:pos="400"/>
        </w:tabs>
        <w:spacing w:after="30" w:line="200"/>
        <w:ind w:left="400" w:hanging="40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A. Abelló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“Using semantic web technologies for exploratory OLAP: A survey,” </w:t>
      </w:r>
      <w:r>
        <w:rPr>
          <w:rFonts w:ascii="Times New Roman" w:cs="Times New Roman" w:eastAsia="Times New Roman" w:hAnsi="Times New Roman"/>
          <w:i/>
          <w:iCs/>
          <w:sz w:val="16"/>
          <w:szCs w:val="16"/>
        </w:rPr>
        <w:t xml:space="preserve">IEEE Trans. Knowl. Data Eng.</w:t>
      </w:r>
      <w:r>
        <w:rPr>
          <w:rFonts w:ascii="Times New Roman" w:cs="Times New Roman" w:eastAsia="Times New Roman" w:hAnsi="Times New Roman"/>
          <w:sz w:val="16"/>
          <w:szCs w:val="16"/>
        </w:rPr>
        <w:t xml:space="preserve">, vol. 27, no. 2, pp. 571–588, Feb. 2015.</w:t>
      </w:r>
    </w:p>
    <w:p>
      <w:pPr>
        <w:tabs>
          <w:tab w:val="left" w:pos="400"/>
        </w:tabs>
        <w:spacing w:after="30" w:line="200"/>
        <w:ind w:left="400" w:hanging="40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D. Nadeau and S. Sekine, “A survey of named entity recognition and classification,” </w:t>
      </w:r>
      <w:r>
        <w:rPr>
          <w:rFonts w:ascii="Times New Roman" w:cs="Times New Roman" w:eastAsia="Times New Roman" w:hAnsi="Times New Roman"/>
          <w:i/>
          <w:iCs/>
          <w:sz w:val="16"/>
          <w:szCs w:val="16"/>
        </w:rPr>
        <w:t xml:space="preserve">Lingvisticae Investigationes</w:t>
      </w:r>
      <w:r>
        <w:rPr>
          <w:rFonts w:ascii="Times New Roman" w:cs="Times New Roman" w:eastAsia="Times New Roman" w:hAnsi="Times New Roman"/>
          <w:sz w:val="16"/>
          <w:szCs w:val="16"/>
        </w:rPr>
        <w:t xml:space="preserve">, vol. 30, no. 1, pp. 3–26, 2007.</w:t>
      </w:r>
    </w:p>
    <w:p>
      <w:pPr>
        <w:tabs>
          <w:tab w:val="left" w:pos="400"/>
        </w:tabs>
        <w:spacing w:after="30" w:line="200"/>
        <w:ind w:left="400" w:hanging="40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M. Honnibal, I. Montani, S. Van Landeghem, and A. Boyd, “spaCy: Industrial-strength natural language processing in Python,” Zenodo, 2020, doi: 10.5281/zenodo.1212303.</w:t>
      </w:r>
    </w:p>
    <w:p>
      <w:pPr>
        <w:tabs>
          <w:tab w:val="left" w:pos="400"/>
        </w:tabs>
        <w:spacing w:after="30" w:line="200"/>
        <w:ind w:left="400" w:hanging="40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R. Agrawal and R. Srikant, “Fast algorithms for mining association rules,” in </w:t>
      </w:r>
      <w:r>
        <w:rPr>
          <w:rFonts w:ascii="Times New Roman" w:cs="Times New Roman" w:eastAsia="Times New Roman" w:hAnsi="Times New Roman"/>
          <w:i/>
          <w:iCs/>
          <w:sz w:val="16"/>
          <w:szCs w:val="16"/>
        </w:rPr>
        <w:t xml:space="preserve">Proc. 20th Int. Conf. Very Large Data Bases (VLDB)</w:t>
      </w:r>
      <w:r>
        <w:rPr>
          <w:rFonts w:ascii="Times New Roman" w:cs="Times New Roman" w:eastAsia="Times New Roman" w:hAnsi="Times New Roman"/>
          <w:sz w:val="16"/>
          <w:szCs w:val="16"/>
        </w:rPr>
        <w:t xml:space="preserve">, 1994, pp. 487–499.</w:t>
      </w:r>
    </w:p>
    <w:p>
      <w:pPr>
        <w:tabs>
          <w:tab w:val="left" w:pos="400"/>
        </w:tabs>
        <w:spacing w:after="30" w:line="200"/>
        <w:ind w:left="400" w:hanging="40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J. Han, J. Pei, and Y. Yin, “Mining frequent patterns without candidate generation,” in </w:t>
      </w:r>
      <w:r>
        <w:rPr>
          <w:rFonts w:ascii="Times New Roman" w:cs="Times New Roman" w:eastAsia="Times New Roman" w:hAnsi="Times New Roman"/>
          <w:i/>
          <w:iCs/>
          <w:sz w:val="16"/>
          <w:szCs w:val="16"/>
        </w:rPr>
        <w:t xml:space="preserve">Proc. ACM SIGMOD Int. Conf. Manage. Data</w:t>
      </w:r>
      <w:r>
        <w:rPr>
          <w:rFonts w:ascii="Times New Roman" w:cs="Times New Roman" w:eastAsia="Times New Roman" w:hAnsi="Times New Roman"/>
          <w:sz w:val="16"/>
          <w:szCs w:val="16"/>
        </w:rPr>
        <w:t xml:space="preserve">, 2000, pp. 1–12.</w:t>
      </w:r>
    </w:p>
    <w:p>
      <w:pPr>
        <w:tabs>
          <w:tab w:val="left" w:pos="400"/>
        </w:tabs>
        <w:spacing w:after="30" w:line="200"/>
        <w:ind w:left="400" w:hanging="40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J. MacQueen, “Some methods for classification and analysis of multivariate observations,” in </w:t>
      </w:r>
      <w:r>
        <w:rPr>
          <w:rFonts w:ascii="Times New Roman" w:cs="Times New Roman" w:eastAsia="Times New Roman" w:hAnsi="Times New Roman"/>
          <w:i/>
          <w:iCs/>
          <w:sz w:val="16"/>
          <w:szCs w:val="16"/>
        </w:rPr>
        <w:t xml:space="preserve">Proc. 5th Berkeley Symp. Math. Statist. Probab.</w:t>
      </w:r>
      <w:r>
        <w:rPr>
          <w:rFonts w:ascii="Times New Roman" w:cs="Times New Roman" w:eastAsia="Times New Roman" w:hAnsi="Times New Roman"/>
          <w:sz w:val="16"/>
          <w:szCs w:val="16"/>
        </w:rPr>
        <w:t xml:space="preserve">, vol. 1, 1967, pp. 281–297.</w:t>
      </w:r>
    </w:p>
    <w:p>
      <w:pPr>
        <w:tabs>
          <w:tab w:val="left" w:pos="400"/>
        </w:tabs>
        <w:spacing w:after="30" w:line="200"/>
        <w:ind w:left="400" w:hanging="40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P. J. Rousseeuw, “Silhouettes: A graphical aid to the interpretation and validation of cluster analysis,” </w:t>
      </w:r>
      <w:r>
        <w:rPr>
          <w:rFonts w:ascii="Times New Roman" w:cs="Times New Roman" w:eastAsia="Times New Roman" w:hAnsi="Times New Roman"/>
          <w:i/>
          <w:iCs/>
          <w:sz w:val="16"/>
          <w:szCs w:val="16"/>
        </w:rPr>
        <w:t xml:space="preserve">J. Comput. Appl. Math.</w:t>
      </w:r>
      <w:r>
        <w:rPr>
          <w:rFonts w:ascii="Times New Roman" w:cs="Times New Roman" w:eastAsia="Times New Roman" w:hAnsi="Times New Roman"/>
          <w:sz w:val="16"/>
          <w:szCs w:val="16"/>
        </w:rPr>
        <w:t xml:space="preserve">, vol. 20, pp. 53–65, 1987.</w:t>
      </w:r>
    </w:p>
    <w:p>
      <w:pPr>
        <w:tabs>
          <w:tab w:val="left" w:pos="400"/>
        </w:tabs>
        <w:spacing w:after="30" w:line="200"/>
        <w:ind w:left="400" w:hanging="40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RDFLib Team, “RDFLib: A Python library for working with RDF.” [Online]. Available: https://github.com/RDFLib/rdflib</w:t>
      </w:r>
    </w:p>
    <w:p>
      <w:pPr>
        <w:tabs>
          <w:tab w:val="left" w:pos="400"/>
        </w:tabs>
        <w:spacing w:after="30" w:line="200"/>
        <w:ind w:left="400" w:hanging="40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W. McKinney, “Data structures for statistical computing in Python,” in </w:t>
      </w:r>
      <w:r>
        <w:rPr>
          <w:rFonts w:ascii="Times New Roman" w:cs="Times New Roman" w:eastAsia="Times New Roman" w:hAnsi="Times New Roman"/>
          <w:i/>
          <w:iCs/>
          <w:sz w:val="16"/>
          <w:szCs w:val="16"/>
        </w:rPr>
        <w:t xml:space="preserve">Proc. 9th Python Sci. Conf. (SciPy)</w:t>
      </w:r>
      <w:r>
        <w:rPr>
          <w:rFonts w:ascii="Times New Roman" w:cs="Times New Roman" w:eastAsia="Times New Roman" w:hAnsi="Times New Roman"/>
          <w:sz w:val="16"/>
          <w:szCs w:val="16"/>
        </w:rPr>
        <w:t xml:space="preserve">, 2010, pp. 56–61.</w:t>
      </w:r>
    </w:p>
    <w:p>
      <w:pPr>
        <w:tabs>
          <w:tab w:val="left" w:pos="400"/>
        </w:tabs>
        <w:spacing w:after="30" w:line="200"/>
        <w:ind w:left="400" w:hanging="40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S. Raschka, “MLxtend: Providing machine learning and data science utilities and extensions to Python’s scientific computing stack,” </w:t>
      </w:r>
      <w:r>
        <w:rPr>
          <w:rFonts w:ascii="Times New Roman" w:cs="Times New Roman" w:eastAsia="Times New Roman" w:hAnsi="Times New Roman"/>
          <w:i/>
          <w:iCs/>
          <w:sz w:val="16"/>
          <w:szCs w:val="16"/>
        </w:rPr>
        <w:t xml:space="preserve">J. Open Source Softw.</w:t>
      </w:r>
      <w:r>
        <w:rPr>
          <w:rFonts w:ascii="Times New Roman" w:cs="Times New Roman" w:eastAsia="Times New Roman" w:hAnsi="Times New Roman"/>
          <w:sz w:val="16"/>
          <w:szCs w:val="16"/>
        </w:rPr>
        <w:t xml:space="preserve">, vol. 3, no. 24, p. 638, 2018.</w:t>
      </w:r>
    </w:p>
    <w:p>
      <w:pPr>
        <w:tabs>
          <w:tab w:val="left" w:pos="400"/>
        </w:tabs>
        <w:spacing w:after="30" w:line="200"/>
        <w:ind w:left="400" w:hanging="40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F. Pedregosa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400"/>
        </w:tabs>
        <w:spacing w:after="30" w:line="200"/>
        <w:ind w:left="400" w:hanging="40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V. Satopää, J. Albrecht, D. Irwin, and B. Raghavan, “Finding a ‘kneedle’ in a haystack: Detecting knee points in system behavior,” in </w:t>
      </w:r>
      <w:r>
        <w:rPr>
          <w:rFonts w:ascii="Times New Roman" w:cs="Times New Roman" w:eastAsia="Times New Roman" w:hAnsi="Times New Roman"/>
          <w:i/>
          <w:iCs/>
          <w:sz w:val="16"/>
          <w:szCs w:val="16"/>
        </w:rPr>
        <w:t xml:space="preserve">Proc. 31st Int. Conf. Distrib. Comput. Syst. Workshops</w:t>
      </w:r>
      <w:r>
        <w:rPr>
          <w:rFonts w:ascii="Times New Roman" w:cs="Times New Roman" w:eastAsia="Times New Roman" w:hAnsi="Times New Roman"/>
          <w:sz w:val="16"/>
          <w:szCs w:val="16"/>
        </w:rPr>
        <w:t xml:space="preserve">, 2011, pp. 166–171.</w:t>
      </w:r>
    </w:p>
    <w:p>
      <w:pPr>
        <w:tabs>
          <w:tab w:val="left" w:pos="400"/>
        </w:tabs>
        <w:spacing w:after="30" w:line="200"/>
        <w:ind w:left="400" w:hanging="40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I. T. Jolliffe, </w:t>
      </w:r>
      <w:r>
        <w:rPr>
          <w:rFonts w:ascii="Times New Roman" w:cs="Times New Roman" w:eastAsia="Times New Roman" w:hAnsi="Times New Roman"/>
          <w:i/>
          <w:iCs/>
          <w:sz w:val="16"/>
          <w:szCs w:val="16"/>
        </w:rPr>
        <w:t xml:space="preserve">Principal Component Analysis</w:t>
      </w:r>
      <w:r>
        <w:rPr>
          <w:rFonts w:ascii="Times New Roman" w:cs="Times New Roman" w:eastAsia="Times New Roman" w:hAnsi="Times New Roman"/>
          <w:sz w:val="16"/>
          <w:szCs w:val="16"/>
        </w:rPr>
        <w:t xml:space="preserve">, 2nd ed. New York, NY, USA: Springer, 2002.</w:t>
      </w:r>
    </w:p>
    <w:p>
      <w:pPr>
        <w:tabs>
          <w:tab w:val="left" w:pos="400"/>
        </w:tabs>
        <w:spacing w:after="30" w:line="200"/>
        <w:ind w:left="400" w:hanging="40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Snowflake Inc., “Streamlit documentation.” [Online]. Available: https://docs.streamlit.io</w:t>
      </w:r>
    </w:p>
    <w:p>
      <w:pPr>
        <w:tabs>
          <w:tab w:val="left" w:pos="400"/>
        </w:tabs>
        <w:spacing w:after="30" w:line="200"/>
        <w:ind w:left="400" w:hanging="40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Plotly Technologies Inc., “Collaborative data science,” Montréal, QC, Canada, 2015. [Online]. Available: https://plot.ly</w:t>
      </w:r>
    </w:p>
    <w:p>
      <w:pPr>
        <w:tabs>
          <w:tab w:val="left" w:pos="400"/>
        </w:tabs>
        <w:spacing w:after="30" w:line="200"/>
        <w:ind w:left="400" w:hanging="40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J. Devlin, M.-W. Chang, K. Lee, and K. Toutanova, “BERT: Pre-training of deep bidirectional transformers for language understanding,”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2019, pp. 4171–4186.</w:t>
      </w:r>
    </w:p>
    <w:p>
      <w:pPr>
        <w:tabs>
          <w:tab w:val="left" w:pos="400"/>
        </w:tabs>
        <w:spacing w:after="30" w:line="200"/>
        <w:ind w:left="400" w:hanging="400"/>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M. Ester, H.-P. Kriegel, J. Sander, and X. Xu, “A density-based algorithm for discovering clusters in large spatial databases with noise,” in </w:t>
      </w:r>
      <w:r>
        <w:rPr>
          <w:rFonts w:ascii="Times New Roman" w:cs="Times New Roman" w:eastAsia="Times New Roman" w:hAnsi="Times New Roman"/>
          <w:i/>
          <w:iCs/>
          <w:sz w:val="16"/>
          <w:szCs w:val="16"/>
        </w:rPr>
        <w:t xml:space="preserve">Proc. 2nd Int. Conf. Knowl. Discovery Data Mining (KDD)</w:t>
      </w:r>
      <w:r>
        <w:rPr>
          <w:rFonts w:ascii="Times New Roman" w:cs="Times New Roman" w:eastAsia="Times New Roman" w:hAnsi="Times New Roman"/>
          <w:sz w:val="16"/>
          <w:szCs w:val="16"/>
        </w:rPr>
        <w:t xml:space="preserve">, 1996, pp. 226–231.</w:t>
      </w:r>
    </w:p>
    <w:p>
      <w:pPr>
        <w:tabs>
          <w:tab w:val="left" w:pos="400"/>
        </w:tabs>
        <w:spacing w:after="30" w:line="200"/>
        <w:ind w:left="400" w:hanging="400"/>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D. Vrandečić and M. Krötzsch, “Wikidata: A free collaborative knowledgebase,”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57, no. 10, pp. 78–85, 2014.</w:t>
      </w:r>
    </w:p>
    <w:sectPr>
      <w:type w:val="continuous"/>
      <w:pgSz w:w="11906" w:h="16838" w:orient="portrait"/>
      <w:pgMar w:top="1077" w:right="811" w:bottom="1440" w:left="811"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9f5b90d78a704202f4802b5fb77657926b17542.png"/><Relationship Id="rId8" Type="http://schemas.openxmlformats.org/officeDocument/2006/relationships/image" Target="media/f5f6e00df75f92739a06dcb8db55bcf146948514.png"/><Relationship Id="rId9" Type="http://schemas.openxmlformats.org/officeDocument/2006/relationships/image" Target="media/0bdf0b34d604b787328b94aebd26dd88999aab77.png"/><Relationship Id="rId10" Type="http://schemas.openxmlformats.org/officeDocument/2006/relationships/image" Target="media/c673037b5fe1238e9550ffdd25fefc1057db4172.png"/><Relationship Id="rId11" Type="http://schemas.openxmlformats.org/officeDocument/2006/relationships/image" Target="media/86ac17672b52cee644a8de401483c29ed6c40d7e.png"/><Relationship Id="rId12" Type="http://schemas.openxmlformats.org/officeDocument/2006/relationships/image" Target="media/03fb467f4e28087953bbdabf7eb59a23133a1f52.png"/><Relationship Id="rId13" Type="http://schemas.openxmlformats.org/officeDocument/2006/relationships/image" Target="media/8bca8070615e706a17a8418a4a5ee5e30a330cec.png"/><Relationship Id="rId14" Type="http://schemas.openxmlformats.org/officeDocument/2006/relationships/image" Target="media/edf86d188065b052883aa688282652b04f19d425.png"/><Relationship Id="rId15" Type="http://schemas.openxmlformats.org/officeDocument/2006/relationships/image" Target="media/a450e167d54bff3d19f60e0b3760aa8e6a7e3458.png"/><Relationship Id="rId16" Type="http://schemas.openxmlformats.org/officeDocument/2006/relationships/image" Target="media/01784625c5dc0024c232b328b7087981dfe88a43.jpg"/><Relationship Id="rId17" Type="http://schemas.openxmlformats.org/officeDocument/2006/relationships/image" Target="media/8759610ba90f0c4527c919a89d0c0ce293df5516.jpg"/><Relationship Id="rId18" Type="http://schemas.openxmlformats.org/officeDocument/2006/relationships/image" Target="media/d8de3d2561db8a8e1390afe5cd310bb5df792edc.jpg"/><Relationship Id="rId19" Type="http://schemas.openxmlformats.org/officeDocument/2006/relationships/image" Target="media/1b51093e456fd3dcfa783714c8498f3bfc261160.jpg"/><Relationship Id="rId20" Type="http://schemas.openxmlformats.org/officeDocument/2006/relationships/image" Target="media/0aa3e5316fa72154aef3c26a7a877272fbe995d7.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OntoRisk BI: An Ontology-Driven Semantic Data Warehouse for Proactive Business Risk Intelligence</dc:title>
  <dc:creator>OntoRisk BI team</dc:creator>
  <cp:lastModifiedBy>Un-named</cp:lastModifiedBy>
  <cp:revision>1</cp:revision>
  <dcterms:created xsi:type="dcterms:W3CDTF">2026-10-28T03:47:25.194Z</dcterms:created>
  <dcterms:modified xsi:type="dcterms:W3CDTF">2026-10-28T03:47:25.196Z</dcterms:modified>
</cp:coreProperties>
</file>

<file path=docProps/custom.xml><?xml version="1.0" encoding="utf-8"?>
<Properties xmlns="http://schemas.openxmlformats.org/officeDocument/2006/custom-properties" xmlns:vt="http://schemas.openxmlformats.org/officeDocument/2006/docPropsVTypes"/>
</file>