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4"/>
        </w:rPr>
        <w:t>Évolutions du Système d'Information Géographique</w:t>
        <w:br/>
        <w:t>GéoFoncier UAD Bambey</w:t>
      </w:r>
    </w:p>
    <w:p>
      <w:pPr>
        <w:jc w:val="center"/>
      </w:pPr>
      <w:r>
        <w:rPr>
          <w:i/>
          <w:color w:val="475569"/>
          <w:sz w:val="26"/>
        </w:rPr>
        <w:t>Journal des travaux réalisés — architecture, données et fonctionnalités</w:t>
      </w:r>
    </w:p>
    <w:p/>
    <w:p>
      <w:r>
        <w:t>Ce document récapitule, dans l'ordre chronologique, les évolutions apportées à l'application Django / GeoDjango / PostGIS / Leaflet de gestion foncière et de suivi cartographique du campus de l'Université Alioune Diop de Bambey (UAD). Il sert de support d'explication pour la soutenance et le mémoire.</w:t>
      </w:r>
    </w:p>
    <w:p>
      <w:r>
        <w:br w:type="page"/>
      </w:r>
    </w:p>
    <w:p>
      <w:pPr>
        <w:pStyle w:val="Heading1"/>
      </w:pPr>
      <w:r>
        <w:t>1. Nettoyage et simplification</w:t>
      </w:r>
    </w:p>
    <w:p>
      <w:pPr>
        <w:pStyle w:val="Heading2"/>
      </w:pPr>
      <w:r>
        <w:t>1.1 Suppression du module « Aide au PDU »</w:t>
      </w:r>
    </w:p>
    <w:p>
      <w:r>
        <w:t>Retiré de l'application car jugé redondant avec la page Statistiques :</w:t>
      </w:r>
    </w:p>
    <w:p>
      <w:pPr>
        <w:pStyle w:val="ListBullet"/>
      </w:pPr>
      <w:r>
        <w:t>Suppression de la vue aide_pdu, de son URL et de son template.</w:t>
      </w:r>
    </w:p>
    <w:p>
      <w:pPr>
        <w:pStyle w:val="ListBullet"/>
      </w:pPr>
      <w:r>
        <w:t>Nettoyage des liens de navigation et du bouton correspondant sur la page Statistiques.</w:t>
      </w:r>
    </w:p>
    <w:p>
      <w:pPr>
        <w:pStyle w:val="ListBullet"/>
      </w:pPr>
      <w:r>
        <w:t>La page pdu:statistiques devient l'URL racine de l'app PDU.</w:t>
      </w:r>
    </w:p>
    <w:p>
      <w:pPr>
        <w:pStyle w:val="Heading2"/>
      </w:pPr>
      <w:r>
        <w:t>1.2 Suppression de l'indicateur « Résolution moyenne »</w:t>
      </w:r>
    </w:p>
    <w:p>
      <w:r>
        <w:t>Retiré de la page Missions Drones (carte KPI « Résolution moy. » en cm/px), jugé peu pertinent. Nettoyage du calcul associé (Avg) devenu inutile dans la vue.</w:t>
      </w:r>
    </w:p>
    <w:p>
      <w:pPr>
        <w:pStyle w:val="Heading1"/>
      </w:pPr>
      <w:r>
        <w:t>2. Refonte de l'architecture foncière : le modèle Campus</w:t>
      </w:r>
    </w:p>
    <w:p>
      <w:r>
        <w:t>Point central de toute la refonte : avant ces travaux, la superficie totale du campus était une constante codée en dur (520 000 m², soit 52 ha), déconnectée des données réellement digitalisées. Cela produisait des incohérences entre les différents tableaux de bord de l'application.</w:t>
      </w:r>
    </w:p>
    <w:p>
      <w:pPr>
        <w:pStyle w:val="Heading2"/>
      </w:pPr>
      <w:r>
        <w:t>2.1 Nouveau modèle Campus</w:t>
      </w:r>
    </w:p>
    <w:p>
      <w:pPr>
        <w:pStyle w:val="ListBullet"/>
      </w:pPr>
      <w:r>
        <w:t>Nouveau modèle Campus : polygone unique représentant la limite du campus, calculé automatiquement à la sauvegarde (transformation en projection métrique UTM 28N, EPSG:32628).</w:t>
      </w:r>
    </w:p>
    <w:p>
      <w:pPr>
        <w:pStyle w:val="ListBullet"/>
      </w:pPr>
      <w:r>
        <w:t>Le Campus n'est plus un « espace » ordinaire : il sert uniquement de référence cartographique et n'est jamais additionné dans les statistiques de superficie.</w:t>
      </w:r>
    </w:p>
    <w:p>
      <w:pPr>
        <w:pStyle w:val="ListBullet"/>
      </w:pPr>
      <w:r>
        <w:t>Migration de données : l'espace foncier existant a été automatiquement converti en Campus lors de la migration Django, sans perte d'information.</w:t>
      </w:r>
    </w:p>
    <w:p>
      <w:pPr>
        <w:pStyle w:val="Heading2"/>
      </w:pPr>
      <w:r>
        <w:t>2.2 Sous-espaces rattachés au Campus</w:t>
      </w:r>
    </w:p>
    <w:p>
      <w:pPr>
        <w:pStyle w:val="ListBullet"/>
      </w:pPr>
      <w:r>
        <w:t>Le modèle Espace devient un sous-espace, obligatoirement rattaché à un Campus (clé étrangère).</w:t>
      </w:r>
    </w:p>
    <w:p>
      <w:pPr>
        <w:pStyle w:val="ListBullet"/>
      </w:pPr>
      <w:r>
        <w:t>Seuls les types Libre et Réservé sont proposés à la création manuelle (le type Occupé est réservé au système : il est positionné automatiquement lorsqu'une construction est approuvée dans l'espace).</w:t>
      </w:r>
    </w:p>
    <w:p>
      <w:pPr>
        <w:pStyle w:val="ListBullet"/>
      </w:pPr>
      <w:r>
        <w:t>Validations géographiques automatiques (méthode clean()) : un sous-espace doit être entièrement contenu dans les limites du Campus, et ne doit jamais chevaucher un autre sous-espace (pour éviter tout double comptage de superficie).</w:t>
      </w:r>
    </w:p>
    <w:p>
      <w:pPr>
        <w:pStyle w:val="Heading2"/>
      </w:pPr>
      <w:r>
        <w:t>2.3 Nouvelles formules de calcul (cohérentes dans toute l'application)</w:t>
      </w:r>
    </w:p>
    <w:p>
      <w:r>
        <w:rPr>
          <w:rFonts w:ascii="Consolas" w:hAnsi="Consolas"/>
          <w:color w:val="333333"/>
          <w:sz w:val="19"/>
        </w:rPr>
        <w:t>Superficie totale   = superficie du polygone Campus (référence unique)</w:t>
      </w:r>
    </w:p>
    <w:p>
      <w:r>
        <w:rPr>
          <w:rFonts w:ascii="Consolas" w:hAnsi="Consolas"/>
          <w:color w:val="333333"/>
          <w:sz w:val="19"/>
        </w:rPr>
        <w:t>Superficie occupée  = Bâtiments + Terrains sportifs + Espaces verts + Voiries</w:t>
      </w:r>
    </w:p>
    <w:p>
      <w:r>
        <w:rPr>
          <w:rFonts w:ascii="Consolas" w:hAnsi="Consolas"/>
          <w:color w:val="333333"/>
          <w:sz w:val="19"/>
        </w:rPr>
        <w:t>Superficie réservée = somme des sous-espaces de type Réservé</w:t>
      </w:r>
    </w:p>
    <w:p>
      <w:r>
        <w:rPr>
          <w:rFonts w:ascii="Consolas" w:hAnsi="Consolas"/>
          <w:color w:val="333333"/>
          <w:sz w:val="19"/>
        </w:rPr>
        <w:t>Superficie libre    = Superficie totale − Superficie occupée − Superficie réservée</w:t>
      </w:r>
    </w:p>
    <w:p>
      <w:r>
        <w:rPr>
          <w:rFonts w:ascii="Consolas" w:hAnsi="Consolas"/>
          <w:color w:val="333333"/>
          <w:sz w:val="19"/>
        </w:rPr>
        <w:t>Taux d'occupation   = (Superficie occupée / Superficie totale) × 100</w:t>
      </w:r>
    </w:p>
    <w:p>
      <w:r>
        <w:t>Point important : les terrains « nus » ou réserves foncières ne sont pas comptés comme occupés — seuls les terrains de type sportif (infrastructure réellement construite/aménagée) le sont. Cette règle métier a été explicitement demandée pour refléter la réalité du terrain.</w:t>
      </w:r>
    </w:p>
    <w:p>
      <w:r>
        <w:t>Ces propriétés sont calculées à la volée à chaque requête (aucune valeur mise en cache) : toute création, modification ou suppression d'un bâtiment, terrain, espace vert, voirie ou sous-espace réservé se répercute immédiatement sur tous les indicateurs, sans action manuelle.</w:t>
      </w:r>
    </w:p>
    <w:p>
      <w:pPr>
        <w:pStyle w:val="Heading2"/>
      </w:pPr>
      <w:r>
        <w:t>2.4 Interface de gestion du Campus</w:t>
      </w:r>
    </w:p>
    <w:p>
      <w:pPr>
        <w:pStyle w:val="ListBullet"/>
      </w:pPr>
      <w:r>
        <w:t>La liste des espaces fonciers affiche désormais le Campus en tête de page avec un bouton « Ajouter un sous-espace ».</w:t>
      </w:r>
    </w:p>
    <w:p>
      <w:pPr>
        <w:pStyle w:val="ListBullet"/>
      </w:pPr>
      <w:r>
        <w:t>Nouvelle page dédiée « Fiche Campus » (superficie, occupation, liste des sous-espaces).</w:t>
      </w:r>
    </w:p>
    <w:p>
      <w:pPr>
        <w:pStyle w:val="ListBullet"/>
      </w:pPr>
      <w:r>
        <w:t>Le formulaire de création d'un sous-espace affiche le contour du Campus en pointillés sur la carte de dessin, comme repère visuel non modifiable.</w:t>
      </w:r>
    </w:p>
    <w:p>
      <w:pPr>
        <w:pStyle w:val="Heading1"/>
      </w:pPr>
      <w:r>
        <w:t>3. Corrections des tableaux de bord</w:t>
      </w:r>
    </w:p>
    <w:p>
      <w:pPr>
        <w:pStyle w:val="Heading2"/>
      </w:pPr>
      <w:r>
        <w:t>3.1 Tableau de bord principal</w:t>
      </w:r>
    </w:p>
    <w:p>
      <w:pPr>
        <w:pStyle w:val="ListBullet"/>
      </w:pPr>
      <w:r>
        <w:t>« Superficie utilisée / occupée » recalculée selon la nouvelle formule (bâtiments + terrains sportifs + espaces verts + voiries), au lieu de ne compter que les bâtiments.</w:t>
      </w:r>
    </w:p>
    <w:p>
      <w:pPr>
        <w:pStyle w:val="ListBullet"/>
      </w:pPr>
      <w:r>
        <w:t>Le libellé a été clarifié : « X ha d'espaces occupés » avec le détail par couche affiché juste en dessous (nombre de bâtiments, voiries, espaces verts, terrains sportifs).</w:t>
      </w:r>
    </w:p>
    <w:p>
      <w:pPr>
        <w:pStyle w:val="ListBullet"/>
      </w:pPr>
      <w:r>
        <w:t>Unification du calcul des pourcentages Occupé / Libre / Réservé : les trois indicateurs utilisent désormais la même logique de calcul côté serveur (auparavant, deux d'entre eux étaient calculés différemment directement dans le template), garantissant une cohérence totale.</w:t>
      </w:r>
    </w:p>
    <w:p>
      <w:pPr>
        <w:pStyle w:val="Heading2"/>
      </w:pPr>
      <w:r>
        <w:t>3.2 Page Statistiques (PDU)</w:t>
      </w:r>
    </w:p>
    <w:p>
      <w:r>
        <w:t>Alignée sur la même source de vérité (Campus) pour la superficie totale du campus.</w:t>
      </w:r>
    </w:p>
    <w:p>
      <w:pPr>
        <w:pStyle w:val="Heading2"/>
      </w:pPr>
      <w:r>
        <w:t>3.3 Page Espaces fonciers</w:t>
      </w:r>
    </w:p>
    <w:p>
      <w:r>
        <w:t>Idem : la superficie totale du campus référencée dans les indicateurs provient du modèle Campus.</w:t>
      </w:r>
    </w:p>
    <w:p>
      <w:pPr>
        <w:pStyle w:val="Heading1"/>
      </w:pPr>
      <w:r>
        <w:t>4. Cartographie : couches, contrôle de couches et Centre de supervision</w:t>
      </w:r>
    </w:p>
    <w:p>
      <w:pPr>
        <w:pStyle w:val="Heading2"/>
      </w:pPr>
      <w:r>
        <w:t>4.1 Carte principale (Cartographie)</w:t>
      </w:r>
    </w:p>
    <w:p>
      <w:pPr>
        <w:pStyle w:val="ListBullet"/>
      </w:pPr>
      <w:r>
        <w:t>Ajout d'une couche « Campus » (contour doré en pointillés, non modifiable) sur la carte principale, avec cadrage automatique (fitBounds) sur l'étendue complète du campus à l'ouverture.</w:t>
      </w:r>
    </w:p>
    <w:p>
      <w:pPr>
        <w:pStyle w:val="ListBullet"/>
      </w:pPr>
      <w:r>
        <w:t>Toutes les couches (Bâtiments, Terrains, Terrains sportifs, Espaces verts, Voiries, Sous-espaces libres, Sous-espaces réservés) sont désormais activées par défaut à l'ouverture de la carte, au lieu de devoir être cochées manuellement.</w:t>
      </w:r>
    </w:p>
    <w:p>
      <w:pPr>
        <w:pStyle w:val="ListBullet"/>
      </w:pPr>
      <w:r>
        <w:t>Séparation de la couche « Terrains » en deux couches distinctes : Terrains (classiques) et Terrains sportifs (couleur orange dédiée), avec filtre côté API (paramètre ?sport=1/0).</w:t>
      </w:r>
    </w:p>
    <w:p>
      <w:pPr>
        <w:pStyle w:val="ListBullet"/>
      </w:pPr>
      <w:r>
        <w:t>Ajout d'un vrai contrôle de couches Leaflet natif (L.control.layers), en complément du panneau latéral personnalisé, listant toutes les couches avec cases à cocher.</w:t>
      </w:r>
    </w:p>
    <w:p>
      <w:pPr>
        <w:pStyle w:val="ListBullet"/>
      </w:pPr>
      <w:r>
        <w:t>Popups enrichis sur toutes les couches (nom, type, superficie/longueur et description/observation).</w:t>
      </w:r>
    </w:p>
    <w:p>
      <w:pPr>
        <w:pStyle w:val="Heading2"/>
      </w:pPr>
      <w:r>
        <w:t>4.2 Bouton « Voir le Campus »</w:t>
      </w:r>
    </w:p>
    <w:p>
      <w:r>
        <w:t>Modifié pour ouvrir directement la carte interactive complète (au lieu d'une simple fiche d'information), avec zoom automatique sur l'étendue du Campus.</w:t>
      </w:r>
    </w:p>
    <w:p>
      <w:pPr>
        <w:pStyle w:val="Heading2"/>
      </w:pPr>
      <w:r>
        <w:t>4.3 Centre de supervision (anciennement « Perspectives »)</w:t>
      </w:r>
    </w:p>
    <w:p>
      <w:r>
        <w:t>Transformation complète de la page en véritable centre de contrôle temps réel du campus, conçue comme la page la plus démonstrative de l'application.</w:t>
      </w:r>
    </w:p>
    <w:p>
      <w:pPr>
        <w:pStyle w:val="ListBullet"/>
      </w:pPr>
      <w:r>
        <w:t>Bandeau de KPI système : nombre de missions, dernière mission, utilisateur connecté, état du serveur.</w:t>
      </w:r>
    </w:p>
    <w:p>
      <w:pPr>
        <w:pStyle w:val="ListBullet"/>
      </w:pPr>
      <w:r>
        <w:t>Carte interactive temps réel réunissant toutes les couches SIG (Campus, sous-espaces libres/réservés, bâtiments, voiries, terrains sportifs, espaces verts).</w:t>
      </w:r>
    </w:p>
    <w:p>
      <w:pPr>
        <w:pStyle w:val="ListBullet"/>
      </w:pPr>
      <w:r>
        <w:t>Panneau de télémétrie drone (altitude, vitesse, batterie, état de mission, position) avec un mode « simulation de vol » activable pour la démonstration — architecture prête à être branchée sur un flux DJI/MAVLink réel.</w:t>
      </w:r>
    </w:p>
    <w:p>
      <w:pPr>
        <w:pStyle w:val="ListBullet"/>
      </w:pPr>
      <w:r>
        <w:t>Panneau vidéo live (RTSP/HLS/WebRTC via MediaMTX) conservé et intégré, avec enregistrement serveur et capture photo.</w:t>
      </w:r>
    </w:p>
    <w:p>
      <w:pPr>
        <w:pStyle w:val="ListBullet"/>
      </w:pPr>
      <w:r>
        <w:t>Panneau d'alertes combinant des événements réels (nouvelle demande de construction, conflit spatial détecté, nouvelle mission) et des alertes de simulation drone (batterie faible, sortie du périmètre du campus).</w:t>
      </w:r>
    </w:p>
    <w:p>
      <w:pPr>
        <w:pStyle w:val="ListBullet"/>
      </w:pPr>
      <w:r>
        <w:t>Panneau d'activité récente agrégeant les derniers ajouts (bâtiments, voiries, espaces verts, sous-espaces, constructions validées, missions lancées).</w:t>
      </w:r>
    </w:p>
    <w:p>
      <w:pPr>
        <w:pStyle w:val="ListBullet"/>
      </w:pPr>
      <w:r>
        <w:t>Actualisation automatique par sondage AJAX (polling toutes les 20 secondes) via un nouvel endpoint JSON dédié — architecture prête à être remplacée par un canal WebSocket.</w:t>
      </w:r>
    </w:p>
    <w:p>
      <w:pPr>
        <w:pStyle w:val="Heading1"/>
      </w:pPr>
      <w:r>
        <w:t>5. Système d'aide à la décision pour les nouvelles constructions</w:t>
      </w:r>
    </w:p>
    <w:p>
      <w:r>
        <w:t>Le module « Nouvelle construction » a été enrichi d'un moteur de recommandation automatique des meilleurs emplacements, en complément du flux de soumission existant.</w:t>
      </w:r>
    </w:p>
    <w:p>
      <w:pPr>
        <w:pStyle w:val="Heading2"/>
      </w:pPr>
      <w:r>
        <w:t>5.1 Analyse automatique</w:t>
      </w:r>
    </w:p>
    <w:p>
      <w:pPr>
        <w:pStyle w:val="ListBullet"/>
      </w:pPr>
      <w:r>
        <w:t>Analyse tous les sous-espaces de type Libre du campus (les espaces Occupés et Réservés ne sont jamais proposés).</w:t>
      </w:r>
    </w:p>
    <w:p>
      <w:pPr>
        <w:pStyle w:val="ListBullet"/>
      </w:pPr>
      <w:r>
        <w:t>Vérifie que la zone appartient au Campus, que la superficie disponible est suffisante, et exclut toute intersection avec les bâtiments, voiries, terrains sportifs et espaces verts existants (la surface en conflit est soustraite géométriquement de l'espace analysé).</w:t>
      </w:r>
    </w:p>
    <w:p>
      <w:pPr>
        <w:pStyle w:val="Heading2"/>
      </w:pPr>
      <w:r>
        <w:t>5.2 Score de pertinence sur 100 points</w:t>
      </w:r>
    </w:p>
    <w:p>
      <w:r>
        <w:rPr>
          <w:rFonts w:ascii="Consolas" w:hAnsi="Consolas"/>
          <w:color w:val="333333"/>
          <w:sz w:val="19"/>
        </w:rPr>
        <w:t>Superficie disponible vs requise : 30 points</w:t>
      </w:r>
    </w:p>
    <w:p>
      <w:r>
        <w:rPr>
          <w:rFonts w:ascii="Consolas" w:hAnsi="Consolas"/>
          <w:color w:val="333333"/>
          <w:sz w:val="19"/>
        </w:rPr>
        <w:t>Proximité des voiries            : 20 points</w:t>
      </w:r>
    </w:p>
    <w:p>
      <w:r>
        <w:rPr>
          <w:rFonts w:ascii="Consolas" w:hAnsi="Consolas"/>
          <w:color w:val="333333"/>
          <w:sz w:val="19"/>
        </w:rPr>
        <w:t>Facilité d'accès                 : 15 points</w:t>
      </w:r>
    </w:p>
    <w:p>
      <w:r>
        <w:rPr>
          <w:rFonts w:ascii="Consolas" w:hAnsi="Consolas"/>
          <w:color w:val="333333"/>
          <w:sz w:val="19"/>
        </w:rPr>
        <w:t>Proximité des bâtiments existants: 15 points</w:t>
      </w:r>
    </w:p>
    <w:p>
      <w:r>
        <w:rPr>
          <w:rFonts w:ascii="Consolas" w:hAnsi="Consolas"/>
          <w:color w:val="333333"/>
          <w:sz w:val="19"/>
        </w:rPr>
        <w:t>Absence de conflits spatiaux     : 10 points</w:t>
      </w:r>
    </w:p>
    <w:p>
      <w:r>
        <w:rPr>
          <w:rFonts w:ascii="Consolas" w:hAnsi="Consolas"/>
          <w:color w:val="333333"/>
          <w:sz w:val="19"/>
        </w:rPr>
        <w:t>Conformité au taux d'occupation  : 10 points</w:t>
      </w:r>
    </w:p>
    <w:p>
      <w:r>
        <w:t>Les distances sont calculées en mètres réels (projection UTM 28N). Chaque emplacement obtient un niveau : Très favorable (≥70), Zone moyenne (≥40) ou Défavorable (&lt;40).</w:t>
      </w:r>
    </w:p>
    <w:p>
      <w:pPr>
        <w:pStyle w:val="Heading2"/>
      </w:pPr>
      <w:r>
        <w:t>5.3 Interface de recommandation</w:t>
      </w:r>
    </w:p>
    <w:p>
      <w:pPr>
        <w:pStyle w:val="ListBullet"/>
      </w:pPr>
      <w:r>
        <w:t>Bouton « Analyser et recommander un emplacement », activé dès que le type de projet et la superficie sont renseignés.</w:t>
      </w:r>
    </w:p>
    <w:p>
      <w:pPr>
        <w:pStyle w:val="ListBullet"/>
      </w:pPr>
      <w:r>
        <w:t>Classement des espaces du meilleur au moins favorable, avec score, superficie disponible, raisons de la recommandation et contraintes détectées, affichés sous forme de cartes.</w:t>
      </w:r>
    </w:p>
    <w:p>
      <w:pPr>
        <w:pStyle w:val="ListBullet"/>
      </w:pPr>
      <w:r>
        <w:t>Coloration automatique des zones sur la carte : vert (favorable), orange (moyen), rouge (défavorable/incompatible), avec zoom automatique sur la meilleure zone.</w:t>
      </w:r>
    </w:p>
    <w:p>
      <w:pPr>
        <w:pStyle w:val="ListBullet"/>
      </w:pPr>
      <w:r>
        <w:t>Si aucune zone n'est compatible, affichage explicite des contraintes rencontrées pour chaque espace analysé (surface insuffisante, conflit avec un bâtiment/une voirie, etc.).</w:t>
      </w:r>
    </w:p>
    <w:p>
      <w:pPr>
        <w:pStyle w:val="ListBullet"/>
      </w:pPr>
      <w:r>
        <w:t>Bouton « Utiliser cet espace » qui réinjecte la recommandation dans le formulaire de demande existant, sans dupliquer la logique de soumission déjà en place.</w:t>
      </w:r>
    </w:p>
    <w:p>
      <w:pPr>
        <w:pStyle w:val="Heading1"/>
      </w:pPr>
      <w:r>
        <w:t>6. Réorganisation du menu de navigation</w:t>
      </w:r>
    </w:p>
    <w:p>
      <w:pPr>
        <w:pStyle w:val="ListBullet"/>
      </w:pPr>
      <w:r>
        <w:t>Suppression des entrées « Recherche » et « Statistiques » du menu latéral : les fonctionnalités de recherche restent disponibles directement dans les pages concernées (Bâtiments, Voiries, Espaces…), et les statistiques restent consultables depuis le Tableau de bord.</w:t>
      </w:r>
    </w:p>
    <w:p>
      <w:pPr>
        <w:pStyle w:val="ListBullet"/>
      </w:pPr>
      <w:r>
        <w:t>Remplacement du menu « Perspectives » par « Centre de supervision », pointant vers la page entièrement repensée décrite en section 4.3.</w:t>
      </w:r>
    </w:p>
    <w:p>
      <w:pPr>
        <w:pStyle w:val="Heading1"/>
      </w:pPr>
      <w:r>
        <w:t>7. Synthèse des principes techniques appliqués</w:t>
      </w:r>
    </w:p>
    <w:p>
      <w:pPr>
        <w:pStyle w:val="ListBullet"/>
      </w:pPr>
      <w:r>
        <w:t>Source de vérité unique : toutes les superficies dérivent désormais du modèle Campus, éliminant les incohérences entre pages.</w:t>
      </w:r>
    </w:p>
    <w:p>
      <w:pPr>
        <w:pStyle w:val="ListBullet"/>
      </w:pPr>
      <w:r>
        <w:t>Calculs dynamiques, jamais mis en cache : chaque indicateur se recalcule à chaque affichage à partir des données réelles en base.</w:t>
      </w:r>
    </w:p>
    <w:p>
      <w:pPr>
        <w:pStyle w:val="ListBullet"/>
      </w:pPr>
      <w:r>
        <w:t>Validation géographique au niveau du modèle (containment, non-chevauchement) pour garantir l'intégrité spatiale des données saisies.</w:t>
      </w:r>
    </w:p>
    <w:p>
      <w:pPr>
        <w:pStyle w:val="ListBullet"/>
      </w:pPr>
      <w:r>
        <w:t>Architecture pensée pour l'évolutivité : le Centre de supervision et la télémétrie drone sont conçus pour accueillir un flux réel (WebSocket, DJI SDK) sans réécriture de l'interface.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3A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