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a5c2e"/>
          <w:sz w:val="52"/>
          <w:szCs w:val="52"/>
        </w:rPr>
        <w:t xml:space="preserve">ASTONS ACCOUNTANTS</w:t>
      </w:r>
    </w:p>
    <w:p>
      <w:pPr>
        <w:spacing w:after="40"/>
        <w:jc w:val="center"/>
      </w:pPr>
      <w:r>
        <w:rPr>
          <w:b/>
          <w:bCs/>
          <w:color w:val="4a4a4a"/>
          <w:sz w:val="32"/>
          <w:szCs w:val="32"/>
        </w:rPr>
        <w:t xml:space="preserve">Invoice Hub — Standard Operating Procedure</w:t>
      </w:r>
    </w:p>
    <w:p>
      <w:pPr>
        <w:pBdr>
          <w:bottom w:val="single" w:color="1a5c2e" w:sz="12"/>
        </w:pBdr>
        <w:spacing w:after="300"/>
        <w:jc w:val="center"/>
      </w:pPr>
      <w:r>
        <w:rPr>
          <w:color w:val="777777"/>
          <w:sz w:val="20"/>
          <w:szCs w:val="20"/>
        </w:rPr>
        <w:t xml:space="preserve">Raising, approving and sending fee notes  ·  Launchpad suite  ·  Version 1.0 — July 2026</w:t>
      </w:r>
    </w:p>
    <w:p>
      <w:pPr>
        <w:spacing w:after="120"/>
      </w:pPr>
      <w:r>
        <w:rPr>
          <w:b/>
          <w:bCs/>
        </w:rPr>
        <w:t xml:space="preserve">Who this is for: </w:t>
      </w:r>
      <w:r>
        <w:t xml:space="preserve">everyone at Astons who raises fee notes, plus new joiners. Follow this document start to finish the first few times; after that the Hub largely guides you.</w:t>
      </w:r>
    </w:p>
    <w:p>
      <w:pPr>
        <w:spacing w:after="120"/>
      </w:pPr>
      <w:r>
        <w:rPr>
          <w:b/>
          <w:bCs/>
        </w:rPr>
        <w:t xml:space="preserve">Document owner: </w:t>
      </w:r>
      <w:r>
        <w:t xml:space="preserve">Ash Chandarana. If anything in the Hub does not match this SOP, tell Ash.</w:t>
      </w:r>
    </w:p>
    <w:p>
      <w:pPr>
        <w:pStyle w:val="Heading1"/>
        <w:spacing w:after="140" w:before="320"/>
      </w:pPr>
      <w:r>
        <w:rPr>
          <w:b/>
          <w:bCs/>
          <w:color w:val="1a5c2e"/>
        </w:rPr>
        <w:t xml:space="preserve">1. What the Invoice Hub is</w:t>
      </w:r>
    </w:p>
    <w:p>
      <w:pPr>
        <w:spacing w:after="120"/>
      </w:pPr>
      <w:r>
        <w:t xml:space="preserve">The Invoice Hub is our single system for getting a fee note from BrightManager to the client. It replaces the old routine of Word invoices, PDF uploads and the Bill Number List spreadsheet. One flow, no duplication:</w:t>
      </w:r>
    </w:p>
    <w:p>
      <w:pPr>
        <w:spacing w:after="80" w:before="80"/>
        <w:jc w:val="center"/>
      </w:pPr>
      <w:r>
        <w:rPr>
          <w:b/>
          <w:bCs/>
          <w:color w:val="1a5c2e"/>
          <w:sz w:val="22"/>
          <w:szCs w:val="22"/>
        </w:rPr>
        <w:t xml:space="preserve">BrightManager  →  Xero (automatic)  →  Invoice Hub  →  Ash approves  →  branded fee note to client</w:t>
      </w:r>
    </w:p>
    <w:p>
      <w:pPr>
        <w:spacing w:after="120"/>
      </w:pPr>
      <w:r>
        <w:t xml:space="preserve">The Hub takes care of: pulling drafts from Xero, the branded Astons fee note PDF, Ash's approval, authorising the invoice in Xero, attaching the fee note to the Xero invoice, emailing you the finished PDF, billing dashboards, and chasing anything left unactioned.</w:t>
      </w:r>
    </w:p>
    <w:p>
      <w:pPr>
        <w:pBdr>
          <w:left w:val="single" w:color="b00020" w:sz="24"/>
        </w:pBdr>
        <w:spacing w:after="140" w:before="60"/>
        <w:ind w:left="240"/>
      </w:pPr>
      <w:r>
        <w:rPr>
          <w:b/>
          <w:bCs/>
          <w:color w:val="4a4a4a"/>
        </w:rPr>
        <w:t xml:space="preserve">Golden rule: every fee note starts life in BrightManager. Never create invoices in Word, never upload PDFs, never raise or authorise invoices directly in Xero.</w:t>
      </w:r>
    </w:p>
    <w:p>
      <w:pPr>
        <w:pStyle w:val="Heading1"/>
        <w:spacing w:after="140" w:before="320"/>
      </w:pPr>
      <w:r>
        <w:rPr>
          <w:b/>
          <w:bCs/>
          <w:color w:val="1a5c2e"/>
        </w:rPr>
        <w:t xml:space="preserve">2. Logging in</w:t>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3100"/>
        <w:gridCol w:w="6260"/>
      </w:tblGrid>
      <w:tr>
        <w:trPr>
          <w:tblHeader/>
        </w:trPr>
        <w:tc>
          <w:tcPr>
            <w:tcW w:type="dxa" w:w="3100"/>
            <w:shd w:fill="1a5c2e" w:val="clear"/>
            <w:tcMar>
              <w:top w:type="dxa" w:w="90"/>
              <w:left w:type="dxa" w:w="120"/>
              <w:bottom w:type="dxa" w:w="90"/>
              <w:right w:type="dxa" w:w="120"/>
            </w:tcMar>
          </w:tcPr>
          <w:p>
            <w:r>
              <w:rPr>
                <w:b/>
                <w:bCs/>
                <w:color w:val="ffffff"/>
                <w:sz w:val="21"/>
                <w:szCs w:val="21"/>
              </w:rPr>
              <w:t xml:space="preserve">Item</w:t>
            </w:r>
          </w:p>
        </w:tc>
        <w:tc>
          <w:tcPr>
            <w:tcW w:type="dxa" w:w="6260"/>
            <w:shd w:fill="1a5c2e" w:val="clear"/>
            <w:tcMar>
              <w:top w:type="dxa" w:w="90"/>
              <w:left w:type="dxa" w:w="120"/>
              <w:bottom w:type="dxa" w:w="90"/>
              <w:right w:type="dxa" w:w="120"/>
            </w:tcMar>
          </w:tcPr>
          <w:p>
            <w:r>
              <w:rPr>
                <w:b/>
                <w:bCs/>
                <w:color w:val="ffffff"/>
                <w:sz w:val="21"/>
                <w:szCs w:val="21"/>
              </w:rPr>
              <w:t xml:space="preserve">Detail</w:t>
            </w:r>
          </w:p>
        </w:tc>
      </w:tr>
      <w:tr>
        <w:trPr>
          <w:tblHeader w:val="false"/>
        </w:trPr>
        <w:tc>
          <w:tcPr>
            <w:tcW w:type="dxa" w:w="3100"/>
            <w:shd w:fill="f5f5f5" w:val="clear"/>
            <w:tcMar>
              <w:top w:type="dxa" w:w="90"/>
              <w:left w:type="dxa" w:w="120"/>
              <w:bottom w:type="dxa" w:w="90"/>
              <w:right w:type="dxa" w:w="120"/>
            </w:tcMar>
          </w:tcPr>
          <w:p>
            <w:r>
              <w:rPr>
                <w:sz w:val="21"/>
                <w:szCs w:val="21"/>
              </w:rPr>
              <w:t xml:space="preserve">Web address</w:t>
            </w:r>
          </w:p>
        </w:tc>
        <w:tc>
          <w:tcPr>
            <w:tcW w:type="dxa" w:w="6260"/>
            <w:shd w:fill="ffffff" w:val="clear"/>
            <w:tcMar>
              <w:top w:type="dxa" w:w="90"/>
              <w:left w:type="dxa" w:w="120"/>
              <w:bottom w:type="dxa" w:w="90"/>
              <w:right w:type="dxa" w:w="120"/>
            </w:tcMar>
          </w:tcPr>
          <w:p>
            <w:r>
              <w:rPr>
                <w:sz w:val="21"/>
                <w:szCs w:val="21"/>
              </w:rPr>
              <w:t xml:space="preserve">https://astons-invoice-platform-production.up.railway.app</w:t>
            </w:r>
          </w:p>
        </w:tc>
      </w:tr>
      <w:tr>
        <w:trPr>
          <w:tblHeader w:val="false"/>
        </w:trPr>
        <w:tc>
          <w:tcPr>
            <w:tcW w:type="dxa" w:w="3100"/>
            <w:shd w:fill="f5f5f5" w:val="clear"/>
            <w:tcMar>
              <w:top w:type="dxa" w:w="90"/>
              <w:left w:type="dxa" w:w="120"/>
              <w:bottom w:type="dxa" w:w="90"/>
              <w:right w:type="dxa" w:w="120"/>
            </w:tcMar>
          </w:tcPr>
          <w:p>
            <w:r>
              <w:rPr>
                <w:sz w:val="21"/>
                <w:szCs w:val="21"/>
              </w:rPr>
              <w:t xml:space="preserve">Login</w:t>
            </w:r>
          </w:p>
        </w:tc>
        <w:tc>
          <w:tcPr>
            <w:tcW w:type="dxa" w:w="6260"/>
            <w:shd w:fill="ffffff" w:val="clear"/>
            <w:tcMar>
              <w:top w:type="dxa" w:w="90"/>
              <w:left w:type="dxa" w:w="120"/>
              <w:bottom w:type="dxa" w:w="90"/>
              <w:right w:type="dxa" w:w="120"/>
            </w:tcMar>
          </w:tcPr>
          <w:p>
            <w:r>
              <w:rPr>
                <w:sz w:val="21"/>
                <w:szCs w:val="21"/>
              </w:rPr>
              <w:t xml:space="preserve">Username and password from Ash. No self-registration.</w:t>
            </w:r>
          </w:p>
        </w:tc>
      </w:tr>
      <w:tr>
        <w:trPr>
          <w:tblHeader w:val="false"/>
        </w:trPr>
        <w:tc>
          <w:tcPr>
            <w:tcW w:type="dxa" w:w="3100"/>
            <w:shd w:fill="f5f5f5" w:val="clear"/>
            <w:tcMar>
              <w:top w:type="dxa" w:w="90"/>
              <w:left w:type="dxa" w:w="120"/>
              <w:bottom w:type="dxa" w:w="90"/>
              <w:right w:type="dxa" w:w="120"/>
            </w:tcMar>
          </w:tcPr>
          <w:p>
            <w:r>
              <w:rPr>
                <w:sz w:val="21"/>
                <w:szCs w:val="21"/>
              </w:rPr>
              <w:t xml:space="preserve">Your initials</w:t>
            </w:r>
          </w:p>
        </w:tc>
        <w:tc>
          <w:tcPr>
            <w:tcW w:type="dxa" w:w="6260"/>
            <w:shd w:fill="ffffff" w:val="clear"/>
            <w:tcMar>
              <w:top w:type="dxa" w:w="90"/>
              <w:left w:type="dxa" w:w="120"/>
              <w:bottom w:type="dxa" w:w="90"/>
              <w:right w:type="dxa" w:w="120"/>
            </w:tcMar>
          </w:tcPr>
          <w:p>
            <w:r>
              <w:rPr>
                <w:sz w:val="21"/>
                <w:szCs w:val="21"/>
              </w:rPr>
              <w:t xml:space="preserve">Ash links your account to your raiser initials (e.g. BB, BT, CC, RD). These drive the “raised by” default and your billing figures.</w:t>
            </w:r>
          </w:p>
        </w:tc>
      </w:tr>
      <w:tr>
        <w:trPr>
          <w:tblHeader w:val="false"/>
        </w:trPr>
        <w:tc>
          <w:tcPr>
            <w:tcW w:type="dxa" w:w="3100"/>
            <w:shd w:fill="f5f5f5" w:val="clear"/>
            <w:tcMar>
              <w:top w:type="dxa" w:w="90"/>
              <w:left w:type="dxa" w:w="120"/>
              <w:bottom w:type="dxa" w:w="90"/>
              <w:right w:type="dxa" w:w="120"/>
            </w:tcMar>
          </w:tcPr>
          <w:p>
            <w:r>
              <w:rPr>
                <w:sz w:val="21"/>
                <w:szCs w:val="21"/>
              </w:rPr>
              <w:t xml:space="preserve">Your email</w:t>
            </w:r>
          </w:p>
        </w:tc>
        <w:tc>
          <w:tcPr>
            <w:tcW w:type="dxa" w:w="6260"/>
            <w:shd w:fill="ffffff" w:val="clear"/>
            <w:tcMar>
              <w:top w:type="dxa" w:w="90"/>
              <w:left w:type="dxa" w:w="120"/>
              <w:bottom w:type="dxa" w:w="90"/>
              <w:right w:type="dxa" w:w="120"/>
            </w:tcMar>
          </w:tcPr>
          <w:p>
            <w:r>
              <w:rPr>
                <w:sz w:val="21"/>
                <w:szCs w:val="21"/>
              </w:rPr>
              <w:t xml:space="preserve">Held in the Hub so approval and rejection emails reach you.</w:t>
            </w:r>
          </w:p>
        </w:tc>
      </w:tr>
    </w:tbl>
    <w:p>
      <w:pPr>
        <w:spacing w:after="120"/>
      </w:pPr>
      <w:r>
        <w:rPr>
          <w:i/>
          <w:iCs/>
        </w:rPr>
        <w:t xml:space="preserve">Bookmark the address. The Hub works in any browser, including on your phone.</w:t>
      </w:r>
    </w:p>
    <w:p>
      <w:pPr>
        <w:pStyle w:val="Heading1"/>
        <w:spacing w:after="140" w:before="320"/>
      </w:pPr>
      <w:r>
        <w:rPr>
          <w:b/>
          <w:bCs/>
          <w:color w:val="1a5c2e"/>
        </w:rPr>
        <w:t xml:space="preserve">3. Raising a fee note (the standard process)</w:t>
      </w:r>
    </w:p>
    <w:p>
      <w:pPr>
        <w:pStyle w:val="Heading2"/>
        <w:spacing w:after="100" w:before="240"/>
      </w:pPr>
      <w:r>
        <w:rPr>
          <w:b/>
          <w:bCs/>
          <w:color w:val="3a8c4e"/>
        </w:rPr>
        <w:t xml:space="preserve">Step 1 — Raise it in BrightManager</w:t>
      </w:r>
    </w:p>
    <w:p>
      <w:pPr>
        <w:pStyle w:val="ListParagraph"/>
        <w:numPr>
          <w:ilvl w:val="0"/>
          <w:numId w:val="2"/>
        </w:numPr>
        <w:spacing w:after="100"/>
      </w:pPr>
      <w:r>
        <w:t xml:space="preserve">Raise the fee note in BrightManager exactly as you always have (client, narrative, amounts).</w:t>
      </w:r>
    </w:p>
    <w:p>
      <w:pPr>
        <w:pStyle w:val="ListParagraph"/>
        <w:numPr>
          <w:ilvl w:val="0"/>
          <w:numId w:val="2"/>
        </w:numPr>
        <w:spacing w:after="100"/>
      </w:pPr>
      <w:r>
        <w:t xml:space="preserve">Wait for it to reach the Hub. BrightManager pushes invoices to Xero </w:t>
      </w:r>
      <w:r>
        <w:rPr>
          <w:b/>
          <w:bCs/>
        </w:rPr>
        <w:t xml:space="preserve">once an hour</w:t>
      </w:r>
      <w:r>
        <w:t xml:space="preserve">, and the Hub checks Xero every 10 minutes — so allow up to about an hour. It will appear in your </w:t>
      </w:r>
      <w:r>
        <w:rPr>
          <w:b/>
          <w:bCs/>
        </w:rPr>
        <w:t xml:space="preserve">Fee notes</w:t>
      </w:r>
      <w:r>
        <w:t xml:space="preserve"> tab automatically; the </w:t>
      </w:r>
      <w:r>
        <w:rPr>
          <w:b/>
          <w:bCs/>
        </w:rPr>
        <w:t xml:space="preserve">Sync now</w:t>
      </w:r>
      <w:r>
        <w:t xml:space="preserve"> button re-checks Xero immediately if you are waiting on it.</w:t>
      </w:r>
    </w:p>
    <w:p>
      <w:pPr>
        <w:pStyle w:val="Heading2"/>
        <w:spacing w:after="100" w:before="240"/>
      </w:pPr>
      <w:r>
        <w:rPr>
          <w:b/>
          <w:bCs/>
          <w:color w:val="3a8c4e"/>
        </w:rPr>
        <w:t xml:space="preserve">Step 2 — Prep it in the Hub (Fee notes tab)</w:t>
      </w:r>
    </w:p>
    <w:p>
      <w:pPr>
        <w:spacing w:after="120"/>
      </w:pPr>
      <w:r>
        <w:t xml:space="preserve">Each waiting fee note shows the client, amounts and dates. For each one you raised:</w:t>
      </w:r>
    </w:p>
    <w:p>
      <w:pPr>
        <w:pStyle w:val="ListParagraph"/>
        <w:numPr>
          <w:ilvl w:val="0"/>
          <w:numId w:val="3"/>
        </w:numPr>
        <w:spacing w:after="100"/>
      </w:pPr>
      <w:r>
        <w:rPr>
          <w:b/>
          <w:bCs/>
        </w:rPr>
        <w:t xml:space="preserve">Entity</w:t>
      </w:r>
      <w:r>
        <w:t xml:space="preserve"> — choose AA or CW. This decides which bank details print on the fee note, so get it right. It is often pre-selected from the invoice’s tracking/nominal codes; override if wrong.</w:t>
      </w:r>
    </w:p>
    <w:p>
      <w:pPr>
        <w:pStyle w:val="ListParagraph"/>
        <w:numPr>
          <w:ilvl w:val="0"/>
          <w:numId w:val="3"/>
        </w:numPr>
        <w:spacing w:after="100"/>
      </w:pPr>
      <w:r>
        <w:rPr>
          <w:b/>
          <w:bCs/>
        </w:rPr>
        <w:t xml:space="preserve">Raised by</w:t>
      </w:r>
      <w:r>
        <w:t xml:space="preserve"> — defaults to you. For shared credit pick two people (the net fee splits 50/50 unless Ash has set a different split).</w:t>
      </w:r>
    </w:p>
    <w:p>
      <w:pPr>
        <w:pStyle w:val="ListParagraph"/>
        <w:numPr>
          <w:ilvl w:val="0"/>
          <w:numId w:val="3"/>
        </w:numPr>
        <w:spacing w:after="100"/>
      </w:pPr>
      <w:r>
        <w:rPr>
          <w:b/>
          <w:bCs/>
        </w:rPr>
        <w:t xml:space="preserve">Client address</w:t>
      </w:r>
      <w:r>
        <w:t xml:space="preserve"> — usually found automatically (from BrightManager). If it shows ⚠ MISSING, open the box and type it once — the Hub remembers it for that client forever.</w:t>
      </w:r>
    </w:p>
    <w:p>
      <w:pPr>
        <w:pStyle w:val="ListParagraph"/>
        <w:numPr>
          <w:ilvl w:val="0"/>
          <w:numId w:val="3"/>
        </w:numPr>
        <w:spacing w:after="100"/>
      </w:pPr>
      <w:r>
        <w:rPr>
          <w:b/>
          <w:bCs/>
        </w:rPr>
        <w:t xml:space="preserve">Preview PDF</w:t>
      </w:r>
      <w:r>
        <w:t xml:space="preserve"> — always look at the branded fee note before sending it for approval. Check client, address, narrative, figures, bank details.</w:t>
      </w:r>
    </w:p>
    <w:p>
      <w:pPr>
        <w:pStyle w:val="ListParagraph"/>
        <w:numPr>
          <w:ilvl w:val="0"/>
          <w:numId w:val="3"/>
        </w:numPr>
        <w:spacing w:after="100"/>
      </w:pPr>
      <w:r>
        <w:rPr>
          <w:b/>
          <w:bCs/>
        </w:rPr>
        <w:t xml:space="preserve">Save for approval</w:t>
      </w:r>
      <w:r>
        <w:t xml:space="preserve"> — the fee note goes to Ash’s queue and he is emailed straight away. You are done until his decision.</w:t>
      </w:r>
    </w:p>
    <w:p>
      <w:pPr>
        <w:pStyle w:val="Heading2"/>
        <w:spacing w:after="100" w:before="240"/>
      </w:pPr>
      <w:r>
        <w:rPr>
          <w:b/>
          <w:bCs/>
          <w:color w:val="3a8c4e"/>
        </w:rPr>
        <w:t xml:space="preserve">Step 3 — Ash approves (or rejects)</w:t>
      </w:r>
    </w:p>
    <w:p>
      <w:pPr>
        <w:spacing w:after="120"/>
      </w:pPr>
      <w:r>
        <w:t xml:space="preserve">Ash reviews the prepped fee note (with warning badges for possible duplicates, fees below last year, or first-time clients). One click then does everything: the invoice is authorised in Xero, the branded fee note is generated and attached to the Xero invoice (and to the client’s online invoice link), and it is logged for billing.</w:t>
      </w:r>
    </w:p>
    <w:p>
      <w:pPr>
        <w:pStyle w:val="Heading2"/>
        <w:spacing w:after="100" w:before="240"/>
      </w:pPr>
      <w:r>
        <w:rPr>
          <w:b/>
          <w:bCs/>
          <w:color w:val="3a8c4e"/>
        </w:rPr>
        <w:t xml:space="preserve">Step 4 — Send it to the client</w:t>
      </w:r>
    </w:p>
    <w:p>
      <w:pPr>
        <w:pStyle w:val="ListParagraph"/>
        <w:numPr>
          <w:ilvl w:val="0"/>
          <w:numId w:val="4"/>
        </w:numPr>
        <w:spacing w:after="100"/>
      </w:pPr>
      <w:r>
        <w:t xml:space="preserve">You receive an email: </w:t>
      </w:r>
      <w:r>
        <w:rPr>
          <w:b/>
          <w:bCs/>
        </w:rPr>
        <w:t xml:space="preserve">“Fee note … approved — ready to send” with the branded PDF attached.</w:t>
      </w:r>
    </w:p>
    <w:p>
      <w:pPr>
        <w:pStyle w:val="ListParagraph"/>
        <w:numPr>
          <w:ilvl w:val="0"/>
          <w:numId w:val="4"/>
        </w:numPr>
        <w:spacing w:after="100"/>
      </w:pPr>
      <w:r>
        <w:t xml:space="preserve">Forward the fee note PDF to the client from Outlook as usual.</w:t>
      </w:r>
    </w:p>
    <w:p>
      <w:pPr>
        <w:pStyle w:val="ListParagraph"/>
        <w:numPr>
          <w:ilvl w:val="0"/>
          <w:numId w:val="4"/>
        </w:numPr>
        <w:spacing w:after="100"/>
      </w:pPr>
      <w:r>
        <w:t xml:space="preserve">That is the whole job. Do not also email the invoice from inside Xero — the client should receive our branded fee note, not Xero’s template.</w:t>
      </w:r>
    </w:p>
    <w:p>
      <w:pPr>
        <w:pStyle w:val="Heading1"/>
        <w:spacing w:after="140" w:before="320"/>
      </w:pPr>
      <w:r>
        <w:rPr>
          <w:b/>
          <w:bCs/>
          <w:color w:val="1a5c2e"/>
        </w:rPr>
        <w:t xml:space="preserve">4. If your fee note is rejected</w:t>
      </w:r>
    </w:p>
    <w:p>
      <w:pPr>
        <w:spacing w:after="120"/>
      </w:pPr>
      <w:r>
        <w:t xml:space="preserve">Ash rejects with a reason (wrong amount, wrong client, wrong narrative, duplicate, or other). You will get an email with the reason, and it also shows in your Fee notes screen under “Recently actioned”.</w:t>
      </w:r>
    </w:p>
    <w:p>
      <w:pPr>
        <w:pBdr>
          <w:left w:val="single" w:color="b58900" w:sz="24"/>
        </w:pBdr>
        <w:spacing w:after="140" w:before="60"/>
        <w:ind w:left="240"/>
      </w:pPr>
      <w:r>
        <w:rPr>
          <w:b/>
          <w:bCs/>
          <w:color w:val="4a4a4a"/>
        </w:rPr>
        <w:t xml:space="preserve">Important: rejection deletes the draft in Xero, but BrightManager still holds the old invoice. You must tidy BM yourself before re-raising.</w:t>
      </w:r>
    </w:p>
    <w:p>
      <w:pPr>
        <w:pStyle w:val="ListParagraph"/>
        <w:numPr>
          <w:ilvl w:val="0"/>
          <w:numId w:val="2"/>
        </w:numPr>
        <w:spacing w:after="100"/>
      </w:pPr>
      <w:r>
        <w:t xml:space="preserve">Read the rejection reason (email or Hub).</w:t>
      </w:r>
    </w:p>
    <w:p>
      <w:pPr>
        <w:pStyle w:val="ListParagraph"/>
        <w:numPr>
          <w:ilvl w:val="0"/>
          <w:numId w:val="2"/>
        </w:numPr>
        <w:spacing w:after="100"/>
      </w:pPr>
      <w:r>
        <w:rPr>
          <w:b/>
          <w:bCs/>
        </w:rPr>
        <w:t xml:space="preserve">In BrightManager: delete or amend the original invoice.</w:t>
      </w:r>
      <w:r>
        <w:t xml:space="preserve"> If you skip this, BM’s records will not match Xero.</w:t>
      </w:r>
    </w:p>
    <w:p>
      <w:pPr>
        <w:pStyle w:val="ListParagraph"/>
        <w:numPr>
          <w:ilvl w:val="0"/>
          <w:numId w:val="2"/>
        </w:numPr>
        <w:spacing w:after="100"/>
      </w:pPr>
      <w:r>
        <w:t xml:space="preserve">Re-raise the corrected fee note in BrightManager. It flows back into the Hub as a new fee note — prep it again as normal.</w:t>
      </w:r>
    </w:p>
    <w:p>
      <w:pPr>
        <w:pStyle w:val="Heading1"/>
        <w:spacing w:after="140" w:before="320"/>
      </w:pPr>
      <w:r>
        <w:rPr>
          <w:b/>
          <w:bCs/>
          <w:color w:val="1a5c2e"/>
        </w:rPr>
        <w:t xml:space="preserve">5. Finding a copy of any fee note</w:t>
      </w:r>
    </w:p>
    <w:p>
      <w:pPr>
        <w:spacing w:after="120"/>
      </w:pPr>
      <w:r>
        <w:t xml:space="preserve">Three ways, newest first:</w:t>
      </w:r>
    </w:p>
    <w:p>
      <w:pPr>
        <w:pStyle w:val="ListParagraph"/>
        <w:numPr>
          <w:ilvl w:val="0"/>
          <w:numId w:val="5"/>
        </w:numPr>
        <w:spacing w:after="80"/>
      </w:pPr>
      <w:r>
        <w:rPr>
          <w:b/>
          <w:bCs/>
        </w:rPr>
        <w:t xml:space="preserve">Your approval email</w:t>
      </w:r>
      <w:r>
        <w:t xml:space="preserve"> — the PDF is attached to the “ready to send” email.</w:t>
      </w:r>
    </w:p>
    <w:p>
      <w:pPr>
        <w:pStyle w:val="ListParagraph"/>
        <w:numPr>
          <w:ilvl w:val="0"/>
          <w:numId w:val="5"/>
        </w:numPr>
        <w:spacing w:after="80"/>
      </w:pPr>
      <w:r>
        <w:rPr>
          <w:b/>
          <w:bCs/>
        </w:rPr>
        <w:t xml:space="preserve">Find fee note tab</w:t>
      </w:r>
      <w:r>
        <w:t xml:space="preserve"> — search any client name or invoice number; every approved fee note ever is stored with a download button. This is the go-to for older copies and works for the whole team.</w:t>
      </w:r>
    </w:p>
    <w:p>
      <w:pPr>
        <w:pStyle w:val="ListParagraph"/>
        <w:numPr>
          <w:ilvl w:val="0"/>
          <w:numId w:val="5"/>
        </w:numPr>
        <w:spacing w:after="80"/>
      </w:pPr>
      <w:r>
        <w:rPr>
          <w:b/>
          <w:bCs/>
        </w:rPr>
        <w:t xml:space="preserve">Xero (Ash/managers)</w:t>
      </w:r>
      <w:r>
        <w:t xml:space="preserve"> — open the invoice; the fee note is under the small “Files (1)” button (Xero’s Preview/Print always show Xero’s own template — that is normal; our branded PDF is the attached file).</w:t>
      </w:r>
    </w:p>
    <w:p>
      <w:pPr>
        <w:pStyle w:val="Heading1"/>
        <w:spacing w:after="140" w:before="320"/>
      </w:pPr>
      <w:r>
        <w:rPr>
          <w:b/>
          <w:bCs/>
          <w:color w:val="1a5c2e"/>
        </w:rPr>
        <w:t xml:space="preserve">6. My billing tab</w:t>
      </w:r>
    </w:p>
    <w:p>
      <w:pPr>
        <w:spacing w:after="120"/>
      </w:pPr>
      <w:r>
        <w:t xml:space="preserve">Shows your own numbers for any month: net fees billed under your initials, progress against your target (if set), the firm total for context, and the list of your approved fee notes with your share of any splits. Shared-credit fee notes count 50/50 unless Ash has set a different split for your pairing.</w:t>
      </w:r>
    </w:p>
    <w:p>
      <w:pPr>
        <w:pStyle w:val="Heading1"/>
        <w:spacing w:after="140" w:before="320"/>
      </w:pPr>
      <w:r>
        <w:rPr>
          <w:b/>
          <w:bCs/>
          <w:color w:val="1a5c2e"/>
        </w:rPr>
        <w:t xml:space="preserve">7. Timing expectations and chasers</w:t>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3100"/>
        <w:gridCol w:w="6260"/>
      </w:tblGrid>
      <w:tr>
        <w:trPr>
          <w:tblHeader/>
        </w:trPr>
        <w:tc>
          <w:tcPr>
            <w:tcW w:type="dxa" w:w="3100"/>
            <w:shd w:fill="1a5c2e" w:val="clear"/>
            <w:tcMar>
              <w:top w:type="dxa" w:w="90"/>
              <w:left w:type="dxa" w:w="120"/>
              <w:bottom w:type="dxa" w:w="90"/>
              <w:right w:type="dxa" w:w="120"/>
            </w:tcMar>
          </w:tcPr>
          <w:p>
            <w:r>
              <w:rPr>
                <w:b/>
                <w:bCs/>
                <w:color w:val="ffffff"/>
                <w:sz w:val="21"/>
                <w:szCs w:val="21"/>
              </w:rPr>
              <w:t xml:space="preserve">What</w:t>
            </w:r>
          </w:p>
        </w:tc>
        <w:tc>
          <w:tcPr>
            <w:tcW w:type="dxa" w:w="6260"/>
            <w:shd w:fill="1a5c2e" w:val="clear"/>
            <w:tcMar>
              <w:top w:type="dxa" w:w="90"/>
              <w:left w:type="dxa" w:w="120"/>
              <w:bottom w:type="dxa" w:w="90"/>
              <w:right w:type="dxa" w:w="120"/>
            </w:tcMar>
          </w:tcPr>
          <w:p>
            <w:r>
              <w:rPr>
                <w:b/>
                <w:bCs/>
                <w:color w:val="ffffff"/>
                <w:sz w:val="21"/>
                <w:szCs w:val="21"/>
              </w:rPr>
              <w:t xml:space="preserve">When</w:t>
            </w:r>
          </w:p>
        </w:tc>
      </w:tr>
      <w:tr>
        <w:trPr>
          <w:tblHeader w:val="false"/>
        </w:trPr>
        <w:tc>
          <w:tcPr>
            <w:tcW w:type="dxa" w:w="3100"/>
            <w:shd w:fill="f5f5f5" w:val="clear"/>
            <w:tcMar>
              <w:top w:type="dxa" w:w="90"/>
              <w:left w:type="dxa" w:w="120"/>
              <w:bottom w:type="dxa" w:w="90"/>
              <w:right w:type="dxa" w:w="120"/>
            </w:tcMar>
          </w:tcPr>
          <w:p>
            <w:r>
              <w:rPr>
                <w:sz w:val="21"/>
                <w:szCs w:val="21"/>
              </w:rPr>
              <w:t xml:space="preserve">BrightManager → Hub</w:t>
            </w:r>
          </w:p>
        </w:tc>
        <w:tc>
          <w:tcPr>
            <w:tcW w:type="dxa" w:w="6260"/>
            <w:shd w:fill="ffffff" w:val="clear"/>
            <w:tcMar>
              <w:top w:type="dxa" w:w="90"/>
              <w:left w:type="dxa" w:w="120"/>
              <w:bottom w:type="dxa" w:w="90"/>
              <w:right w:type="dxa" w:w="120"/>
            </w:tcMar>
          </w:tcPr>
          <w:p>
            <w:r>
              <w:rPr>
                <w:sz w:val="21"/>
                <w:szCs w:val="21"/>
              </w:rPr>
              <w:t xml:space="preserve">Up to ~1 hour (BM syncs to Xero hourly; Hub checks every 10 minutes)</w:t>
            </w:r>
          </w:p>
        </w:tc>
      </w:tr>
      <w:tr>
        <w:trPr>
          <w:tblHeader w:val="false"/>
        </w:trPr>
        <w:tc>
          <w:tcPr>
            <w:tcW w:type="dxa" w:w="3100"/>
            <w:shd w:fill="f5f5f5" w:val="clear"/>
            <w:tcMar>
              <w:top w:type="dxa" w:w="90"/>
              <w:left w:type="dxa" w:w="120"/>
              <w:bottom w:type="dxa" w:w="90"/>
              <w:right w:type="dxa" w:w="120"/>
            </w:tcMar>
          </w:tcPr>
          <w:p>
            <w:r>
              <w:rPr>
                <w:sz w:val="21"/>
                <w:szCs w:val="21"/>
              </w:rPr>
              <w:t xml:space="preserve">Prep your fee notes</w:t>
            </w:r>
          </w:p>
        </w:tc>
        <w:tc>
          <w:tcPr>
            <w:tcW w:type="dxa" w:w="6260"/>
            <w:shd w:fill="ffffff" w:val="clear"/>
            <w:tcMar>
              <w:top w:type="dxa" w:w="90"/>
              <w:left w:type="dxa" w:w="120"/>
              <w:bottom w:type="dxa" w:w="90"/>
              <w:right w:type="dxa" w:w="120"/>
            </w:tcMar>
          </w:tcPr>
          <w:p>
            <w:r>
              <w:rPr>
                <w:sz w:val="21"/>
                <w:szCs w:val="21"/>
              </w:rPr>
              <w:t xml:space="preserve">Same day you raise them — unprepped notes cannot be approved</w:t>
            </w:r>
          </w:p>
        </w:tc>
      </w:tr>
      <w:tr>
        <w:trPr>
          <w:tblHeader w:val="false"/>
        </w:trPr>
        <w:tc>
          <w:tcPr>
            <w:tcW w:type="dxa" w:w="3100"/>
            <w:shd w:fill="f5f5f5" w:val="clear"/>
            <w:tcMar>
              <w:top w:type="dxa" w:w="90"/>
              <w:left w:type="dxa" w:w="120"/>
              <w:bottom w:type="dxa" w:w="90"/>
              <w:right w:type="dxa" w:w="120"/>
            </w:tcMar>
          </w:tcPr>
          <w:p>
            <w:r>
              <w:rPr>
                <w:sz w:val="21"/>
                <w:szCs w:val="21"/>
              </w:rPr>
              <w:t xml:space="preserve">3 days unactioned</w:t>
            </w:r>
          </w:p>
        </w:tc>
        <w:tc>
          <w:tcPr>
            <w:tcW w:type="dxa" w:w="6260"/>
            <w:shd w:fill="ffffff" w:val="clear"/>
            <w:tcMar>
              <w:top w:type="dxa" w:w="90"/>
              <w:left w:type="dxa" w:w="120"/>
              <w:bottom w:type="dxa" w:w="90"/>
              <w:right w:type="dxa" w:w="120"/>
            </w:tcMar>
          </w:tcPr>
          <w:p>
            <w:r>
              <w:rPr>
                <w:sz w:val="21"/>
                <w:szCs w:val="21"/>
              </w:rPr>
              <w:t xml:space="preserve">Amber flag; Ash is emailed a chase list daily</w:t>
            </w:r>
          </w:p>
        </w:tc>
      </w:tr>
      <w:tr>
        <w:trPr>
          <w:tblHeader w:val="false"/>
        </w:trPr>
        <w:tc>
          <w:tcPr>
            <w:tcW w:type="dxa" w:w="3100"/>
            <w:shd w:fill="f5f5f5" w:val="clear"/>
            <w:tcMar>
              <w:top w:type="dxa" w:w="90"/>
              <w:left w:type="dxa" w:w="120"/>
              <w:bottom w:type="dxa" w:w="90"/>
              <w:right w:type="dxa" w:w="120"/>
            </w:tcMar>
          </w:tcPr>
          <w:p>
            <w:r>
              <w:rPr>
                <w:sz w:val="21"/>
                <w:szCs w:val="21"/>
              </w:rPr>
              <w:t xml:space="preserve">7 days unactioned</w:t>
            </w:r>
          </w:p>
        </w:tc>
        <w:tc>
          <w:tcPr>
            <w:tcW w:type="dxa" w:w="6260"/>
            <w:shd w:fill="ffffff" w:val="clear"/>
            <w:tcMar>
              <w:top w:type="dxa" w:w="90"/>
              <w:left w:type="dxa" w:w="120"/>
              <w:bottom w:type="dxa" w:w="90"/>
              <w:right w:type="dxa" w:w="120"/>
            </w:tcMar>
          </w:tcPr>
          <w:p>
            <w:r>
              <w:rPr>
                <w:sz w:val="21"/>
                <w:szCs w:val="21"/>
              </w:rPr>
              <w:t xml:space="preserve">Red “escalated” flag — expect a conversation</w:t>
            </w:r>
          </w:p>
        </w:tc>
      </w:tr>
      <w:tr>
        <w:trPr>
          <w:tblHeader w:val="false"/>
        </w:trPr>
        <w:tc>
          <w:tcPr>
            <w:tcW w:type="dxa" w:w="3100"/>
            <w:shd w:fill="f5f5f5" w:val="clear"/>
            <w:tcMar>
              <w:top w:type="dxa" w:w="90"/>
              <w:left w:type="dxa" w:w="120"/>
              <w:bottom w:type="dxa" w:w="90"/>
              <w:right w:type="dxa" w:w="120"/>
            </w:tcMar>
          </w:tcPr>
          <w:p>
            <w:r>
              <w:rPr>
                <w:sz w:val="21"/>
                <w:szCs w:val="21"/>
              </w:rPr>
              <w:t xml:space="preserve">Monday morning</w:t>
            </w:r>
          </w:p>
        </w:tc>
        <w:tc>
          <w:tcPr>
            <w:tcW w:type="dxa" w:w="6260"/>
            <w:shd w:fill="ffffff" w:val="clear"/>
            <w:tcMar>
              <w:top w:type="dxa" w:w="90"/>
              <w:left w:type="dxa" w:w="120"/>
              <w:bottom w:type="dxa" w:w="90"/>
              <w:right w:type="dxa" w:w="120"/>
            </w:tcMar>
          </w:tcPr>
          <w:p>
            <w:r>
              <w:rPr>
                <w:sz w:val="21"/>
                <w:szCs w:val="21"/>
              </w:rPr>
              <w:t xml:space="preserve">Ash receives a digest: pending count, times, oldest outstanding</w:t>
            </w:r>
          </w:p>
        </w:tc>
      </w:tr>
    </w:tbl>
    <w:p>
      <w:pPr>
        <w:pStyle w:val="Heading1"/>
        <w:spacing w:after="140" w:before="320"/>
      </w:pPr>
      <w:r>
        <w:rPr>
          <w:b/>
          <w:bCs/>
          <w:color w:val="1a5c2e"/>
        </w:rPr>
        <w:t xml:space="preserve">8. Golden rules</w:t>
      </w:r>
    </w:p>
    <w:p>
      <w:pPr>
        <w:pStyle w:val="ListParagraph"/>
        <w:numPr>
          <w:ilvl w:val="0"/>
          <w:numId w:val="5"/>
        </w:numPr>
        <w:spacing w:after="80"/>
      </w:pPr>
      <w:r>
        <w:rPr>
          <w:b/>
          <w:bCs/>
        </w:rPr>
        <w:t xml:space="preserve">BrightManager only.</w:t>
      </w:r>
      <w:r>
        <w:t xml:space="preserve"> Every fee note is raised in BM. No Word invoices, no Dext, no uploading PDFs, no invoices typed straight into Xero.</w:t>
      </w:r>
    </w:p>
    <w:p>
      <w:pPr>
        <w:pStyle w:val="ListParagraph"/>
        <w:numPr>
          <w:ilvl w:val="0"/>
          <w:numId w:val="5"/>
        </w:numPr>
        <w:spacing w:after="80"/>
      </w:pPr>
      <w:r>
        <w:rPr>
          <w:b/>
          <w:bCs/>
        </w:rPr>
        <w:t xml:space="preserve">Never touch invoices in Xero.</w:t>
      </w:r>
      <w:r>
        <w:t xml:space="preserve"> Do not authorise, delete or edit fee-note invoices in Xero directly — the Hub does that, and anything done outside it lands on Ash’s exceptions list.</w:t>
      </w:r>
    </w:p>
    <w:p>
      <w:pPr>
        <w:pStyle w:val="ListParagraph"/>
        <w:numPr>
          <w:ilvl w:val="0"/>
          <w:numId w:val="5"/>
        </w:numPr>
        <w:spacing w:after="80"/>
      </w:pPr>
      <w:r>
        <w:rPr>
          <w:b/>
          <w:bCs/>
        </w:rPr>
        <w:t xml:space="preserve">Prep promptly and honestly.</w:t>
      </w:r>
      <w:r>
        <w:t xml:space="preserve"> Right entity, right raiser(s). Attribution drives the billing dashboards.</w:t>
      </w:r>
    </w:p>
    <w:p>
      <w:pPr>
        <w:pStyle w:val="ListParagraph"/>
        <w:numPr>
          <w:ilvl w:val="0"/>
          <w:numId w:val="5"/>
        </w:numPr>
        <w:spacing w:after="80"/>
      </w:pPr>
      <w:r>
        <w:rPr>
          <w:b/>
          <w:bCs/>
        </w:rPr>
        <w:t xml:space="preserve">Preview before sending for approval.</w:t>
      </w:r>
      <w:r>
        <w:t xml:space="preserve"> You are the first quality check on the client-facing document.</w:t>
      </w:r>
    </w:p>
    <w:p>
      <w:pPr>
        <w:pStyle w:val="ListParagraph"/>
        <w:numPr>
          <w:ilvl w:val="0"/>
          <w:numId w:val="5"/>
        </w:numPr>
        <w:spacing w:after="80"/>
      </w:pPr>
      <w:r>
        <w:rPr>
          <w:b/>
          <w:bCs/>
        </w:rPr>
        <w:t xml:space="preserve">Rejected means tidy BM.</w:t>
      </w:r>
      <w:r>
        <w:t xml:space="preserve"> Delete/amend the old BM invoice before re-raising — every time.</w:t>
      </w:r>
    </w:p>
    <w:p>
      <w:pPr>
        <w:pStyle w:val="ListParagraph"/>
        <w:numPr>
          <w:ilvl w:val="0"/>
          <w:numId w:val="5"/>
        </w:numPr>
        <w:spacing w:after="80"/>
      </w:pPr>
      <w:r>
        <w:rPr>
          <w:b/>
          <w:bCs/>
        </w:rPr>
        <w:t xml:space="preserve">Client gets the branded fee note.</w:t>
      </w:r>
      <w:r>
        <w:t xml:space="preserve"> Send the PDF from your approval email; never Xero’s own template email.</w:t>
      </w:r>
    </w:p>
    <w:p>
      <w:pPr>
        <w:pStyle w:val="Heading1"/>
        <w:spacing w:after="140" w:before="320"/>
      </w:pPr>
      <w:r>
        <w:rPr>
          <w:b/>
          <w:bCs/>
          <w:color w:val="1a5c2e"/>
        </w:rPr>
        <w:t xml:space="preserve">9. Troubleshooting</w:t>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3100"/>
        <w:gridCol w:w="6260"/>
      </w:tblGrid>
      <w:tr>
        <w:trPr>
          <w:tblHeader/>
        </w:trPr>
        <w:tc>
          <w:tcPr>
            <w:tcW w:type="dxa" w:w="3100"/>
            <w:shd w:fill="1a5c2e" w:val="clear"/>
            <w:tcMar>
              <w:top w:type="dxa" w:w="90"/>
              <w:left w:type="dxa" w:w="120"/>
              <w:bottom w:type="dxa" w:w="90"/>
              <w:right w:type="dxa" w:w="120"/>
            </w:tcMar>
          </w:tcPr>
          <w:p>
            <w:r>
              <w:rPr>
                <w:b/>
                <w:bCs/>
                <w:color w:val="ffffff"/>
                <w:sz w:val="21"/>
                <w:szCs w:val="21"/>
              </w:rPr>
              <w:t xml:space="preserve">Problem</w:t>
            </w:r>
          </w:p>
        </w:tc>
        <w:tc>
          <w:tcPr>
            <w:tcW w:type="dxa" w:w="6260"/>
            <w:shd w:fill="1a5c2e" w:val="clear"/>
            <w:tcMar>
              <w:top w:type="dxa" w:w="90"/>
              <w:left w:type="dxa" w:w="120"/>
              <w:bottom w:type="dxa" w:w="90"/>
              <w:right w:type="dxa" w:w="120"/>
            </w:tcMar>
          </w:tcPr>
          <w:p>
            <w:r>
              <w:rPr>
                <w:b/>
                <w:bCs/>
                <w:color w:val="ffffff"/>
                <w:sz w:val="21"/>
                <w:szCs w:val="21"/>
              </w:rPr>
              <w:t xml:space="preserve">What to do</w:t>
            </w:r>
          </w:p>
        </w:tc>
      </w:tr>
      <w:tr>
        <w:trPr>
          <w:tblHeader w:val="false"/>
        </w:trPr>
        <w:tc>
          <w:tcPr>
            <w:tcW w:type="dxa" w:w="3100"/>
            <w:shd w:fill="f5f5f5" w:val="clear"/>
            <w:tcMar>
              <w:top w:type="dxa" w:w="90"/>
              <w:left w:type="dxa" w:w="120"/>
              <w:bottom w:type="dxa" w:w="90"/>
              <w:right w:type="dxa" w:w="120"/>
            </w:tcMar>
          </w:tcPr>
          <w:p>
            <w:r>
              <w:rPr>
                <w:sz w:val="21"/>
                <w:szCs w:val="21"/>
              </w:rPr>
              <w:t xml:space="preserve">My invoice isn’t showing in the Hub</w:t>
            </w:r>
          </w:p>
        </w:tc>
        <w:tc>
          <w:tcPr>
            <w:tcW w:type="dxa" w:w="6260"/>
            <w:shd w:fill="ffffff" w:val="clear"/>
            <w:tcMar>
              <w:top w:type="dxa" w:w="90"/>
              <w:left w:type="dxa" w:w="120"/>
              <w:bottom w:type="dxa" w:w="90"/>
              <w:right w:type="dxa" w:w="120"/>
            </w:tcMar>
          </w:tcPr>
          <w:p>
            <w:r>
              <w:rPr>
                <w:sz w:val="21"/>
                <w:szCs w:val="21"/>
              </w:rPr>
              <w:t xml:space="preserve">BM syncs to Xero hourly — wait, then press Sync now. Still missing after 90 minutes? Check it exists in BM, then tell Ash.</w:t>
            </w:r>
          </w:p>
        </w:tc>
      </w:tr>
      <w:tr>
        <w:trPr>
          <w:tblHeader w:val="false"/>
        </w:trPr>
        <w:tc>
          <w:tcPr>
            <w:tcW w:type="dxa" w:w="3100"/>
            <w:shd w:fill="f5f5f5" w:val="clear"/>
            <w:tcMar>
              <w:top w:type="dxa" w:w="90"/>
              <w:left w:type="dxa" w:w="120"/>
              <w:bottom w:type="dxa" w:w="90"/>
              <w:right w:type="dxa" w:w="120"/>
            </w:tcMar>
          </w:tcPr>
          <w:p>
            <w:r>
              <w:rPr>
                <w:sz w:val="21"/>
                <w:szCs w:val="21"/>
              </w:rPr>
              <w:t xml:space="preserve">“No raiser initials” warning</w:t>
            </w:r>
          </w:p>
        </w:tc>
        <w:tc>
          <w:tcPr>
            <w:tcW w:type="dxa" w:w="6260"/>
            <w:shd w:fill="ffffff" w:val="clear"/>
            <w:tcMar>
              <w:top w:type="dxa" w:w="90"/>
              <w:left w:type="dxa" w:w="120"/>
              <w:bottom w:type="dxa" w:w="90"/>
              <w:right w:type="dxa" w:w="120"/>
            </w:tcMar>
          </w:tcPr>
          <w:p>
            <w:r>
              <w:rPr>
                <w:sz w:val="21"/>
                <w:szCs w:val="21"/>
              </w:rPr>
              <w:t xml:space="preserve">Ash needs to set your initials in the Users tab. Log out and back in afterwards.</w:t>
            </w:r>
          </w:p>
        </w:tc>
      </w:tr>
      <w:tr>
        <w:trPr>
          <w:tblHeader w:val="false"/>
        </w:trPr>
        <w:tc>
          <w:tcPr>
            <w:tcW w:type="dxa" w:w="3100"/>
            <w:shd w:fill="f5f5f5" w:val="clear"/>
            <w:tcMar>
              <w:top w:type="dxa" w:w="90"/>
              <w:left w:type="dxa" w:w="120"/>
              <w:bottom w:type="dxa" w:w="90"/>
              <w:right w:type="dxa" w:w="120"/>
            </w:tcMar>
          </w:tcPr>
          <w:p>
            <w:r>
              <w:rPr>
                <w:sz w:val="21"/>
                <w:szCs w:val="21"/>
              </w:rPr>
              <w:t xml:space="preserve">Client address shows ⚠ MISSING</w:t>
            </w:r>
          </w:p>
        </w:tc>
        <w:tc>
          <w:tcPr>
            <w:tcW w:type="dxa" w:w="6260"/>
            <w:shd w:fill="ffffff" w:val="clear"/>
            <w:tcMar>
              <w:top w:type="dxa" w:w="90"/>
              <w:left w:type="dxa" w:w="120"/>
              <w:bottom w:type="dxa" w:w="90"/>
              <w:right w:type="dxa" w:w="120"/>
            </w:tcMar>
          </w:tcPr>
          <w:p>
            <w:r>
              <w:rPr>
                <w:sz w:val="21"/>
                <w:szCs w:val="21"/>
              </w:rPr>
              <w:t xml:space="preserve">Type it in the address box once and save — remembered for that client from then on.</w:t>
            </w:r>
          </w:p>
        </w:tc>
      </w:tr>
      <w:tr>
        <w:trPr>
          <w:tblHeader w:val="false"/>
        </w:trPr>
        <w:tc>
          <w:tcPr>
            <w:tcW w:type="dxa" w:w="3100"/>
            <w:shd w:fill="f5f5f5" w:val="clear"/>
            <w:tcMar>
              <w:top w:type="dxa" w:w="90"/>
              <w:left w:type="dxa" w:w="120"/>
              <w:bottom w:type="dxa" w:w="90"/>
              <w:right w:type="dxa" w:w="120"/>
            </w:tcMar>
          </w:tcPr>
          <w:p>
            <w:r>
              <w:rPr>
                <w:sz w:val="21"/>
                <w:szCs w:val="21"/>
              </w:rPr>
              <w:t xml:space="preserve">Wrong entity was auto-selected</w:t>
            </w:r>
          </w:p>
        </w:tc>
        <w:tc>
          <w:tcPr>
            <w:tcW w:type="dxa" w:w="6260"/>
            <w:shd w:fill="ffffff" w:val="clear"/>
            <w:tcMar>
              <w:top w:type="dxa" w:w="90"/>
              <w:left w:type="dxa" w:w="120"/>
              <w:bottom w:type="dxa" w:w="90"/>
              <w:right w:type="dxa" w:w="120"/>
            </w:tcMar>
          </w:tcPr>
          <w:p>
            <w:r>
              <w:rPr>
                <w:sz w:val="21"/>
                <w:szCs w:val="21"/>
              </w:rPr>
              <w:t xml:space="preserve">Just change it before saving for approval; tell Ash so the mapping can be corrected.</w:t>
            </w:r>
          </w:p>
        </w:tc>
      </w:tr>
      <w:tr>
        <w:trPr>
          <w:tblHeader w:val="false"/>
        </w:trPr>
        <w:tc>
          <w:tcPr>
            <w:tcW w:type="dxa" w:w="3100"/>
            <w:shd w:fill="f5f5f5" w:val="clear"/>
            <w:tcMar>
              <w:top w:type="dxa" w:w="90"/>
              <w:left w:type="dxa" w:w="120"/>
              <w:bottom w:type="dxa" w:w="90"/>
              <w:right w:type="dxa" w:w="120"/>
            </w:tcMar>
          </w:tcPr>
          <w:p>
            <w:r>
              <w:rPr>
                <w:sz w:val="21"/>
                <w:szCs w:val="21"/>
              </w:rPr>
              <w:t xml:space="preserve">I didn’t get my approval/rejection email</w:t>
            </w:r>
          </w:p>
        </w:tc>
        <w:tc>
          <w:tcPr>
            <w:tcW w:type="dxa" w:w="6260"/>
            <w:shd w:fill="ffffff" w:val="clear"/>
            <w:tcMar>
              <w:top w:type="dxa" w:w="90"/>
              <w:left w:type="dxa" w:w="120"/>
              <w:bottom w:type="dxa" w:w="90"/>
              <w:right w:type="dxa" w:w="120"/>
            </w:tcMar>
          </w:tcPr>
          <w:p>
            <w:r>
              <w:rPr>
                <w:sz w:val="21"/>
                <w:szCs w:val="21"/>
              </w:rPr>
              <w:t xml:space="preserve">Check junk first; then ask Ash to confirm your email is in the raiser list (Xero settings → Raisers).</w:t>
            </w:r>
          </w:p>
        </w:tc>
      </w:tr>
      <w:tr>
        <w:trPr>
          <w:tblHeader w:val="false"/>
        </w:trPr>
        <w:tc>
          <w:tcPr>
            <w:tcW w:type="dxa" w:w="3100"/>
            <w:shd w:fill="f5f5f5" w:val="clear"/>
            <w:tcMar>
              <w:top w:type="dxa" w:w="90"/>
              <w:left w:type="dxa" w:w="120"/>
              <w:bottom w:type="dxa" w:w="90"/>
              <w:right w:type="dxa" w:w="120"/>
            </w:tcMar>
          </w:tcPr>
          <w:p>
            <w:r>
              <w:rPr>
                <w:sz w:val="21"/>
                <w:szCs w:val="21"/>
              </w:rPr>
              <w:t xml:space="preserve">Need an old fee note</w:t>
            </w:r>
          </w:p>
        </w:tc>
        <w:tc>
          <w:tcPr>
            <w:tcW w:type="dxa" w:w="6260"/>
            <w:shd w:fill="ffffff" w:val="clear"/>
            <w:tcMar>
              <w:top w:type="dxa" w:w="90"/>
              <w:left w:type="dxa" w:w="120"/>
              <w:bottom w:type="dxa" w:w="90"/>
              <w:right w:type="dxa" w:w="120"/>
            </w:tcMar>
          </w:tcPr>
          <w:p>
            <w:r>
              <w:rPr>
                <w:sz w:val="21"/>
                <w:szCs w:val="21"/>
              </w:rPr>
              <w:t xml:space="preserve">Find fee note tab — search client or invoice number.</w:t>
            </w:r>
          </w:p>
        </w:tc>
      </w:tr>
      <w:tr>
        <w:trPr>
          <w:tblHeader w:val="false"/>
        </w:trPr>
        <w:tc>
          <w:tcPr>
            <w:tcW w:type="dxa" w:w="3100"/>
            <w:shd w:fill="f5f5f5" w:val="clear"/>
            <w:tcMar>
              <w:top w:type="dxa" w:w="90"/>
              <w:left w:type="dxa" w:w="120"/>
              <w:bottom w:type="dxa" w:w="90"/>
              <w:right w:type="dxa" w:w="120"/>
            </w:tcMar>
          </w:tcPr>
          <w:p>
            <w:r>
              <w:rPr>
                <w:sz w:val="21"/>
                <w:szCs w:val="21"/>
              </w:rPr>
              <w:t xml:space="preserve">Approved invoice needs cancelling</w:t>
            </w:r>
          </w:p>
        </w:tc>
        <w:tc>
          <w:tcPr>
            <w:tcW w:type="dxa" w:w="6260"/>
            <w:shd w:fill="ffffff" w:val="clear"/>
            <w:tcMar>
              <w:top w:type="dxa" w:w="90"/>
              <w:left w:type="dxa" w:w="120"/>
              <w:bottom w:type="dxa" w:w="90"/>
              <w:right w:type="dxa" w:w="120"/>
            </w:tcMar>
          </w:tcPr>
          <w:p>
            <w:r>
              <w:rPr>
                <w:sz w:val="21"/>
                <w:szCs w:val="21"/>
              </w:rPr>
              <w:t xml:space="preserve">Speak to Ash — authorised invoices are voided in Xero by him, never deleted.</w:t>
            </w:r>
          </w:p>
        </w:tc>
      </w:tr>
      <w:tr>
        <w:trPr>
          <w:tblHeader w:val="false"/>
        </w:trPr>
        <w:tc>
          <w:tcPr>
            <w:tcW w:type="dxa" w:w="3100"/>
            <w:shd w:fill="f5f5f5" w:val="clear"/>
            <w:tcMar>
              <w:top w:type="dxa" w:w="90"/>
              <w:left w:type="dxa" w:w="120"/>
              <w:bottom w:type="dxa" w:w="90"/>
              <w:right w:type="dxa" w:w="120"/>
            </w:tcMar>
          </w:tcPr>
          <w:p>
            <w:r>
              <w:rPr>
                <w:sz w:val="21"/>
                <w:szCs w:val="21"/>
              </w:rPr>
              <w:t xml:space="preserve">Anything else odd</w:t>
            </w:r>
          </w:p>
        </w:tc>
        <w:tc>
          <w:tcPr>
            <w:tcW w:type="dxa" w:w="6260"/>
            <w:shd w:fill="ffffff" w:val="clear"/>
            <w:tcMar>
              <w:top w:type="dxa" w:w="90"/>
              <w:left w:type="dxa" w:w="120"/>
              <w:bottom w:type="dxa" w:w="90"/>
              <w:right w:type="dxa" w:w="120"/>
            </w:tcMar>
          </w:tcPr>
          <w:p>
            <w:r>
              <w:rPr>
                <w:sz w:val="21"/>
                <w:szCs w:val="21"/>
              </w:rPr>
              <w:t xml:space="preserve">Tell Ash — the Hub logs everything, so problems are traceable.</w:t>
            </w:r>
          </w:p>
        </w:tc>
      </w:tr>
    </w:tbl>
    <w:p>
      <w:pPr>
        <w:pStyle w:val="Heading1"/>
        <w:spacing w:after="140" w:before="320"/>
      </w:pPr>
      <w:r>
        <w:rPr>
          <w:b/>
          <w:bCs/>
          <w:color w:val="1a5c2e"/>
        </w:rPr>
        <w:t xml:space="preserve">10. New joiner checklist</w:t>
      </w:r>
    </w:p>
    <w:p>
      <w:pPr>
        <w:spacing w:after="120"/>
      </w:pPr>
      <w:r>
        <w:rPr>
          <w:b/>
          <w:bCs/>
        </w:rPr>
        <w:t xml:space="preserve">For Ash / admin</w:t>
      </w:r>
      <w:r>
        <w:t xml:space="preserve"> (two minutes):</w:t>
      </w:r>
    </w:p>
    <w:p>
      <w:pPr>
        <w:pStyle w:val="ListParagraph"/>
        <w:numPr>
          <w:ilvl w:val="0"/>
          <w:numId w:val="2"/>
        </w:numPr>
        <w:spacing w:after="100"/>
      </w:pPr>
      <w:r>
        <w:t xml:space="preserve">Users tab → Add new user: username, full name, initials, temporary password, role “team member”.</w:t>
      </w:r>
    </w:p>
    <w:p>
      <w:pPr>
        <w:pStyle w:val="ListParagraph"/>
        <w:numPr>
          <w:ilvl w:val="0"/>
          <w:numId w:val="2"/>
        </w:numPr>
        <w:spacing w:after="100"/>
      </w:pPr>
      <w:r>
        <w:t xml:space="preserve">Xero settings → Raisers: add their email address next to their initials (this switches on their approval/rejection emails).</w:t>
      </w:r>
    </w:p>
    <w:p>
      <w:pPr>
        <w:spacing w:after="120"/>
      </w:pPr>
      <w:r>
        <w:rPr>
          <w:b/>
          <w:bCs/>
        </w:rPr>
        <w:t xml:space="preserve">For the new joiner</w:t>
      </w:r>
      <w:r>
        <w:t xml:space="preserve">:</w:t>
      </w:r>
    </w:p>
    <w:p>
      <w:pPr>
        <w:pStyle w:val="ListParagraph"/>
        <w:numPr>
          <w:ilvl w:val="0"/>
          <w:numId w:val="5"/>
        </w:numPr>
        <w:spacing w:after="80"/>
      </w:pPr>
      <w:r>
        <w:t xml:space="preserve">Log in, change nothing else — your initials and email are already wired up.</w:t>
      </w:r>
    </w:p>
    <w:p>
      <w:pPr>
        <w:pStyle w:val="ListParagraph"/>
        <w:numPr>
          <w:ilvl w:val="0"/>
          <w:numId w:val="5"/>
        </w:numPr>
        <w:spacing w:after="80"/>
      </w:pPr>
      <w:r>
        <w:t xml:space="preserve">Read sections 3–5 of this SOP.</w:t>
      </w:r>
    </w:p>
    <w:p>
      <w:pPr>
        <w:pStyle w:val="ListParagraph"/>
        <w:numPr>
          <w:ilvl w:val="0"/>
          <w:numId w:val="5"/>
        </w:numPr>
        <w:spacing w:after="80"/>
      </w:pPr>
      <w:r>
        <w:t xml:space="preserve">Shadow one fee note end-to-end with a colleague: raise in BM → prep → approval email → send to client.</w:t>
      </w:r>
    </w:p>
    <w:p>
      <w:pPr>
        <w:pStyle w:val="ListParagraph"/>
        <w:numPr>
          <w:ilvl w:val="0"/>
          <w:numId w:val="5"/>
        </w:numPr>
        <w:spacing w:after="80"/>
      </w:pPr>
      <w:r>
        <w:t xml:space="preserve">Your first solo fee note: ask a colleague to glance at your Preview PDF before you save for approval.</w:t>
      </w:r>
    </w:p>
    <w:p>
      <w:pPr>
        <w:pBdr>
          <w:top w:val="single" w:color="e0e0e0" w:sz="8"/>
        </w:pBdr>
        <w:spacing w:before="360"/>
      </w:pPr>
      <w:r>
        <w:rPr>
          <w:color w:val="777777"/>
          <w:sz w:val="18"/>
          <w:szCs w:val="18"/>
        </w:rPr>
        <w:t xml:space="preserve">Astons Accountants &amp; Business Advisors Limited — internal use. Invoice Hub SOP v1.0, July 2026. The Hub itself is always the source of truth; this document describes how we use it.</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5c2e"/>
      <w:sz w:val="30"/>
      <w:szCs w:val="30"/>
    </w:rPr>
  </w:style>
  <w:style w:type="paragraph" w:styleId="Heading2">
    <w:name w:val="Heading 2"/>
    <w:basedOn w:val="Normal"/>
    <w:next w:val="Normal"/>
    <w:qFormat/>
    <w:rPr>
      <w:rFonts w:ascii="Calibri" w:cs="Calibri" w:eastAsia="Calibri" w:hAnsi="Calibri"/>
      <w:b/>
      <w:bCs/>
      <w:color w:val="3a8c4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2026-07-19T21:16:37.802Z</dcterms:created>
  <dcterms:modified xsi:type="dcterms:W3CDTF">2026-07-19T21:16:37.803Z</dcterms:modified>
</cp:coreProperties>
</file>

<file path=docProps/custom.xml><?xml version="1.0" encoding="utf-8"?>
<Properties xmlns="http://schemas.openxmlformats.org/officeDocument/2006/custom-properties" xmlns:vt="http://schemas.openxmlformats.org/officeDocument/2006/docPropsVTypes"/>
</file>